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378" w:tblpY="2570"/>
        <w:tblOverlap w:val="never"/>
        <w:tblW w:w="11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593"/>
        <w:gridCol w:w="925"/>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13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199" w:leftChars="-95" w:right="0" w:rightChars="0" w:firstLine="247" w:firstLineChars="118"/>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Specification model</w:t>
            </w:r>
          </w:p>
        </w:tc>
        <w:tc>
          <w:tcPr>
            <w:tcW w:w="159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eastAsia="zh-CN"/>
              </w:rPr>
              <w:t>Equipment name</w:t>
            </w:r>
          </w:p>
        </w:tc>
        <w:tc>
          <w:tcPr>
            <w:tcW w:w="92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eastAsia="zh-CN"/>
              </w:rPr>
              <w:t>quantity</w:t>
            </w:r>
          </w:p>
        </w:tc>
        <w:tc>
          <w:tcPr>
            <w:tcW w:w="6817"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13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9" w:leftChars="-18" w:right="0" w:rightChars="0" w:hanging="29" w:hangingChars="14"/>
              <w:jc w:val="center"/>
              <w:textAlignment w:val="auto"/>
              <w:rPr>
                <w:rFonts w:hint="eastAsia" w:ascii="华文楷体" w:hAnsi="华文楷体" w:eastAsia="华文楷体" w:cs="华文楷体"/>
                <w:kern w:val="2"/>
                <w:sz w:val="21"/>
                <w:szCs w:val="21"/>
                <w:shd w:val="clear" w:color="auto" w:fill="auto"/>
                <w:lang w:val="en-US" w:eastAsia="zh-CN" w:bidi="ar-SA"/>
              </w:rPr>
            </w:pPr>
            <w:r>
              <w:rPr>
                <w:rFonts w:hint="eastAsia" w:ascii="华文楷体" w:hAnsi="华文楷体" w:eastAsia="华文楷体" w:cs="华文楷体"/>
                <w:sz w:val="21"/>
                <w:szCs w:val="21"/>
                <w:shd w:val="clear" w:color="auto" w:fill="auto"/>
                <w:lang w:val="en-US" w:eastAsia="zh-CN"/>
              </w:rPr>
              <w:t>SM-E</w:t>
            </w:r>
          </w:p>
        </w:tc>
        <w:tc>
          <w:tcPr>
            <w:tcW w:w="159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kern w:val="2"/>
                <w:sz w:val="21"/>
                <w:szCs w:val="21"/>
                <w:lang w:val="en-US" w:eastAsia="zh-CN" w:bidi="ar-SA"/>
              </w:rPr>
            </w:pPr>
            <w:r>
              <w:rPr>
                <w:rFonts w:hint="eastAsia" w:ascii="华文楷体" w:hAnsi="华文楷体" w:eastAsia="华文楷体" w:cs="华文楷体"/>
                <w:sz w:val="21"/>
                <w:szCs w:val="21"/>
                <w:lang w:eastAsia="zh-CN"/>
              </w:rPr>
              <w:t xml:space="preserve">Double-sided </w:t>
            </w:r>
            <w:r>
              <w:rPr>
                <w:rFonts w:hint="eastAsia" w:ascii="华文楷体" w:hAnsi="华文楷体" w:eastAsia="华文楷体" w:cs="华文楷体"/>
                <w:sz w:val="21"/>
                <w:szCs w:val="21"/>
                <w:lang w:val="en-US" w:eastAsia="zh-CN"/>
              </w:rPr>
              <w:t xml:space="preserve"> </w:t>
            </w:r>
            <w:r>
              <w:rPr>
                <w:rFonts w:hint="eastAsia" w:ascii="华文楷体" w:hAnsi="华文楷体" w:eastAsia="华文楷体" w:cs="华文楷体"/>
                <w:sz w:val="21"/>
                <w:szCs w:val="21"/>
                <w:lang w:eastAsia="zh-CN"/>
              </w:rPr>
              <w:t>machine</w:t>
            </w:r>
          </w:p>
        </w:tc>
        <w:tc>
          <w:tcPr>
            <w:tcW w:w="925"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sz w:val="21"/>
                <w:szCs w:val="21"/>
                <w:lang w:eastAsia="zh-CN"/>
              </w:rPr>
            </w:pPr>
            <w:r>
              <w:rPr>
                <w:rFonts w:hint="eastAsia" w:ascii="华文楷体" w:hAnsi="华文楷体" w:eastAsia="华文楷体" w:cs="华文楷体"/>
                <w:sz w:val="21"/>
                <w:szCs w:val="21"/>
                <w:lang w:eastAsia="zh-CN"/>
              </w:rPr>
              <w:t>1 set</w:t>
            </w:r>
          </w:p>
          <w:p>
            <w:pPr>
              <w:keepNext w:val="0"/>
              <w:keepLines w:val="0"/>
              <w:pageBreakBefore w:val="0"/>
              <w:kinsoku/>
              <w:wordWrap/>
              <w:overflowPunct/>
              <w:topLinePunct w:val="0"/>
              <w:autoSpaceDE/>
              <w:autoSpaceDN/>
              <w:bidi w:val="0"/>
              <w:adjustRightInd/>
              <w:snapToGrid/>
              <w:spacing w:line="300" w:lineRule="exact"/>
              <w:ind w:left="-288" w:leftChars="-137" w:right="0" w:rightChars="0" w:firstLine="249" w:firstLineChars="119"/>
              <w:jc w:val="center"/>
              <w:textAlignment w:val="auto"/>
              <w:rPr>
                <w:rFonts w:hint="eastAsia" w:ascii="华文楷体" w:hAnsi="华文楷体" w:eastAsia="华文楷体" w:cs="华文楷体"/>
                <w:kern w:val="2"/>
                <w:sz w:val="21"/>
                <w:szCs w:val="21"/>
                <w:lang w:val="en-US" w:eastAsia="zh-CN" w:bidi="ar-SA"/>
              </w:rPr>
            </w:pPr>
          </w:p>
        </w:tc>
        <w:tc>
          <w:tcPr>
            <w:tcW w:w="6817" w:type="dxa"/>
            <w:tcBorders>
              <w:top w:val="single" w:color="auto" w:sz="4" w:space="0"/>
              <w:bottom w:val="single" w:color="auto" w:sz="4" w:space="0"/>
            </w:tcBorders>
            <w:noWrap w:val="0"/>
            <w:vAlign w:val="center"/>
          </w:tcPr>
          <w:p>
            <w:pPr>
              <w:jc w:val="left"/>
              <w:rPr>
                <w:rFonts w:hint="eastAsia" w:ascii="华文楷体" w:hAnsi="华文楷体" w:eastAsia="华文楷体" w:cs="华文楷体"/>
                <w:b w:val="0"/>
                <w:bCs/>
                <w:color w:val="000000"/>
                <w:kern w:val="0"/>
                <w:sz w:val="21"/>
                <w:szCs w:val="21"/>
                <w:lang w:val="en-US" w:eastAsia="zh-CN" w:bidi="ar-SA"/>
              </w:rPr>
            </w:pPr>
            <w:r>
              <w:rPr>
                <w:rFonts w:hint="eastAsia" w:ascii="华文楷体" w:hAnsi="华文楷体" w:eastAsia="华文楷体" w:cs="华文楷体"/>
                <w:color w:val="000000"/>
                <w:kern w:val="0"/>
                <w:sz w:val="21"/>
                <w:szCs w:val="21"/>
              </w:rPr>
              <w:t>Frame 400 mm national standard channel steel, chrome-plated hot plate 600 mm *12 pieces, the entrance adopts a curved hot plate to increase the temperature of the facial paper extremely quickly, and the whole touch plate design structure. PLC automatically controls the pressing plate. The upper and lower belts are equipped with automatic correction, temperature display, and frequency conversion motor.</w:t>
            </w:r>
          </w:p>
        </w:tc>
      </w:tr>
    </w:tbl>
    <w:p>
      <w:pPr>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val="en-US" w:eastAsia="zh-CN"/>
        </w:rPr>
        <w:t xml:space="preserve">                                                                                                                                                                                                                                                 </w:t>
      </w:r>
    </w:p>
    <w:p>
      <w:pPr>
        <w:bidi w:val="0"/>
        <w:rPr>
          <w:rFonts w:hint="eastAsia" w:ascii="华文楷体" w:hAnsi="华文楷体" w:eastAsia="华文楷体" w:cs="华文楷体"/>
          <w:sz w:val="21"/>
          <w:szCs w:val="21"/>
          <w:lang w:val="en-US" w:eastAsia="zh-CN"/>
        </w:rPr>
      </w:pPr>
    </w:p>
    <w:p>
      <w:pPr>
        <w:bidi w:val="0"/>
        <w:rPr>
          <w:rFonts w:hint="eastAsia" w:ascii="华文楷体" w:hAnsi="华文楷体" w:eastAsia="华文楷体" w:cs="华文楷体"/>
          <w:sz w:val="21"/>
          <w:szCs w:val="21"/>
          <w:lang w:val="en-US" w:eastAsia="zh-CN"/>
        </w:rPr>
      </w:pPr>
    </w:p>
    <w:p>
      <w:pPr>
        <w:bidi w:val="0"/>
        <w:rPr>
          <w:rFonts w:hint="eastAsia" w:ascii="华文楷体" w:hAnsi="华文楷体" w:eastAsia="华文楷体" w:cs="华文楷体"/>
          <w:sz w:val="21"/>
          <w:szCs w:val="21"/>
          <w:lang w:val="en-US" w:eastAsia="zh-CN"/>
        </w:rPr>
      </w:pPr>
    </w:p>
    <w:p>
      <w:pPr>
        <w:bidi w:val="0"/>
        <w:rPr>
          <w:rFonts w:hint="eastAsia" w:ascii="华文楷体" w:hAnsi="华文楷体" w:eastAsia="华文楷体" w:cs="华文楷体"/>
          <w:sz w:val="21"/>
          <w:szCs w:val="21"/>
          <w:lang w:val="en-US" w:eastAsia="zh-CN"/>
        </w:rPr>
      </w:pPr>
    </w:p>
    <w:p>
      <w:pPr>
        <w:numPr>
          <w:ilvl w:val="0"/>
          <w:numId w:val="0"/>
        </w:numPr>
        <w:spacing w:line="360" w:lineRule="auto"/>
        <w:jc w:val="left"/>
        <w:rPr>
          <w:rFonts w:hint="eastAsia" w:ascii="华文楷体" w:hAnsi="华文楷体" w:eastAsia="华文楷体" w:cs="华文楷体"/>
          <w:b/>
          <w:bCs/>
          <w:color w:val="FF0000"/>
          <w:sz w:val="21"/>
          <w:szCs w:val="21"/>
          <w:shd w:val="clear" w:color="auto" w:fill="auto"/>
          <w:lang w:val="en-US" w:eastAsia="zh-CN"/>
        </w:rPr>
      </w:pPr>
      <w:r>
        <w:rPr>
          <w:rFonts w:hint="eastAsia" w:ascii="华文楷体" w:hAnsi="华文楷体" w:eastAsia="华文楷体" w:cs="华文楷体"/>
          <w:sz w:val="21"/>
          <w:szCs w:val="21"/>
          <w:lang w:val="en-US" w:eastAsia="zh-CN"/>
        </w:rPr>
        <w:tab/>
      </w:r>
      <w:r>
        <w:rPr>
          <w:rFonts w:hint="eastAsia" w:ascii="华文楷体" w:hAnsi="华文楷体" w:eastAsia="华文楷体" w:cs="华文楷体"/>
          <w:b/>
          <w:bCs/>
          <w:color w:val="FF0000"/>
          <w:sz w:val="21"/>
          <w:szCs w:val="21"/>
          <w:shd w:val="clear" w:color="auto" w:fill="auto"/>
          <w:lang w:val="en-US" w:eastAsia="zh-CN"/>
        </w:rPr>
        <w:t xml:space="preserve">SM-E </w:t>
      </w:r>
      <w:r>
        <w:rPr>
          <w:rFonts w:hint="eastAsia" w:ascii="华文楷体" w:hAnsi="华文楷体" w:eastAsia="华文楷体" w:cs="华文楷体"/>
          <w:b/>
          <w:bCs/>
          <w:color w:val="FF0000"/>
          <w:sz w:val="21"/>
          <w:szCs w:val="21"/>
          <w:shd w:val="clear" w:color="auto" w:fill="auto"/>
          <w:lang w:eastAsia="zh-CN"/>
        </w:rPr>
        <w:t>双面机</w:t>
      </w:r>
      <w:r>
        <w:rPr>
          <w:rFonts w:hint="eastAsia" w:ascii="华文楷体" w:hAnsi="华文楷体" w:eastAsia="华文楷体" w:cs="华文楷体"/>
          <w:b/>
          <w:bCs/>
          <w:color w:val="FF0000"/>
          <w:sz w:val="21"/>
          <w:szCs w:val="21"/>
          <w:shd w:val="clear" w:color="auto" w:fill="auto"/>
          <w:lang w:val="en-US" w:eastAsia="zh-CN"/>
        </w:rPr>
        <w:t xml:space="preserve">    </w:t>
      </w:r>
    </w:p>
    <w:p>
      <w:pPr>
        <w:numPr>
          <w:ilvl w:val="0"/>
          <w:numId w:val="0"/>
        </w:numPr>
        <w:spacing w:line="360" w:lineRule="auto"/>
        <w:jc w:val="left"/>
        <w:rPr>
          <w:rFonts w:hint="eastAsia" w:ascii="华文楷体" w:hAnsi="华文楷体" w:eastAsia="华文楷体" w:cs="华文楷体"/>
          <w:sz w:val="21"/>
          <w:szCs w:val="21"/>
          <w:lang w:val="en-US" w:eastAsia="zh-CN"/>
        </w:rPr>
      </w:pPr>
      <w:r>
        <w:rPr>
          <w:rFonts w:hint="eastAsia" w:ascii="华文楷体" w:hAnsi="华文楷体" w:eastAsia="华文楷体" w:cs="华文楷体"/>
          <w:sz w:val="21"/>
          <w:szCs w:val="21"/>
          <w:lang w:eastAsia="zh-CN"/>
        </w:rPr>
        <w:drawing>
          <wp:anchor distT="0" distB="0" distL="114300" distR="114300" simplePos="0" relativeHeight="251659264" behindDoc="0" locked="0" layoutInCell="1" allowOverlap="1">
            <wp:simplePos x="0" y="0"/>
            <wp:positionH relativeFrom="column">
              <wp:posOffset>629920</wp:posOffset>
            </wp:positionH>
            <wp:positionV relativeFrom="paragraph">
              <wp:posOffset>147955</wp:posOffset>
            </wp:positionV>
            <wp:extent cx="3648710" cy="2079625"/>
            <wp:effectExtent l="0" t="0" r="8890" b="15875"/>
            <wp:wrapNone/>
            <wp:docPr id="1" name="图片 1" descr="图片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6"/>
                    <pic:cNvPicPr>
                      <a:picLocks noChangeAspect="1"/>
                    </pic:cNvPicPr>
                  </pic:nvPicPr>
                  <pic:blipFill>
                    <a:blip r:embed="rId5"/>
                    <a:stretch>
                      <a:fillRect/>
                    </a:stretch>
                  </pic:blipFill>
                  <pic:spPr>
                    <a:xfrm>
                      <a:off x="0" y="0"/>
                      <a:ext cx="3648710" cy="2079625"/>
                    </a:xfrm>
                    <a:prstGeom prst="rect">
                      <a:avLst/>
                    </a:prstGeom>
                    <a:noFill/>
                    <a:ln>
                      <a:noFill/>
                    </a:ln>
                  </pic:spPr>
                </pic:pic>
              </a:graphicData>
            </a:graphic>
          </wp:anchor>
        </w:drawing>
      </w:r>
    </w:p>
    <w:p>
      <w:pPr>
        <w:numPr>
          <w:ilvl w:val="0"/>
          <w:numId w:val="0"/>
        </w:numPr>
        <w:spacing w:line="360" w:lineRule="auto"/>
        <w:jc w:val="left"/>
        <w:rPr>
          <w:rFonts w:hint="eastAsia" w:ascii="华文楷体" w:hAnsi="华文楷体" w:eastAsia="华文楷体" w:cs="华文楷体"/>
          <w:sz w:val="21"/>
          <w:szCs w:val="21"/>
          <w:lang w:val="en-US" w:eastAsia="zh-CN"/>
        </w:rPr>
      </w:pPr>
    </w:p>
    <w:p>
      <w:pPr>
        <w:numPr>
          <w:ilvl w:val="0"/>
          <w:numId w:val="0"/>
        </w:numPr>
        <w:spacing w:line="360" w:lineRule="auto"/>
        <w:jc w:val="left"/>
        <w:rPr>
          <w:rFonts w:hint="eastAsia" w:ascii="华文楷体" w:hAnsi="华文楷体" w:eastAsia="华文楷体" w:cs="华文楷体"/>
          <w:sz w:val="21"/>
          <w:szCs w:val="21"/>
          <w:lang w:val="en-US" w:eastAsia="zh-CN"/>
        </w:rPr>
      </w:pPr>
    </w:p>
    <w:p>
      <w:pPr>
        <w:numPr>
          <w:ilvl w:val="0"/>
          <w:numId w:val="0"/>
        </w:numPr>
        <w:spacing w:line="360" w:lineRule="auto"/>
        <w:jc w:val="left"/>
        <w:rPr>
          <w:rFonts w:hint="eastAsia" w:ascii="华文楷体" w:hAnsi="华文楷体" w:eastAsia="华文楷体" w:cs="华文楷体"/>
          <w:sz w:val="21"/>
          <w:szCs w:val="21"/>
          <w:lang w:val="en-US" w:eastAsia="zh-CN"/>
        </w:rPr>
      </w:pPr>
    </w:p>
    <w:p>
      <w:pPr>
        <w:numPr>
          <w:ilvl w:val="0"/>
          <w:numId w:val="0"/>
        </w:numPr>
        <w:spacing w:line="360" w:lineRule="auto"/>
        <w:jc w:val="left"/>
        <w:rPr>
          <w:rFonts w:hint="eastAsia" w:ascii="华文楷体" w:hAnsi="华文楷体" w:eastAsia="华文楷体" w:cs="华文楷体"/>
          <w:sz w:val="21"/>
          <w:szCs w:val="21"/>
          <w:lang w:val="en-US" w:eastAsia="zh-CN"/>
        </w:rPr>
      </w:pPr>
    </w:p>
    <w:p>
      <w:pPr>
        <w:numPr>
          <w:ilvl w:val="0"/>
          <w:numId w:val="0"/>
        </w:numPr>
        <w:spacing w:line="360" w:lineRule="auto"/>
        <w:jc w:val="left"/>
        <w:rPr>
          <w:rFonts w:hint="eastAsia" w:ascii="华文楷体" w:hAnsi="华文楷体" w:eastAsia="华文楷体" w:cs="华文楷体"/>
          <w:sz w:val="21"/>
          <w:szCs w:val="21"/>
          <w:lang w:val="en-US" w:eastAsia="zh-CN"/>
        </w:rPr>
      </w:pPr>
    </w:p>
    <w:p>
      <w:pPr>
        <w:numPr>
          <w:ilvl w:val="0"/>
          <w:numId w:val="0"/>
        </w:numPr>
        <w:spacing w:line="360" w:lineRule="auto"/>
        <w:jc w:val="left"/>
        <w:rPr>
          <w:rFonts w:hint="eastAsia" w:ascii="华文楷体" w:hAnsi="华文楷体" w:eastAsia="华文楷体" w:cs="华文楷体"/>
          <w:sz w:val="21"/>
          <w:szCs w:val="21"/>
          <w:lang w:val="en-US" w:eastAsia="zh-CN"/>
        </w:rPr>
      </w:pPr>
    </w:p>
    <w:p>
      <w:pPr>
        <w:numPr>
          <w:ilvl w:val="0"/>
          <w:numId w:val="0"/>
        </w:numPr>
        <w:spacing w:line="360" w:lineRule="auto"/>
        <w:jc w:val="left"/>
        <w:rPr>
          <w:rFonts w:hint="eastAsia" w:ascii="华文楷体" w:hAnsi="华文楷体" w:eastAsia="华文楷体" w:cs="华文楷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华文楷体" w:hAnsi="华文楷体" w:eastAsia="华文楷体" w:cs="华文楷体"/>
          <w:color w:val="FF0000"/>
          <w:sz w:val="21"/>
          <w:szCs w:val="21"/>
          <w:shd w:val="clear" w:color="auto" w:fill="auto"/>
          <w:lang w:eastAsia="zh-CN"/>
        </w:rPr>
      </w:pPr>
      <w:r>
        <w:rPr>
          <w:rFonts w:hint="eastAsia" w:ascii="华文楷体" w:hAnsi="华文楷体" w:eastAsia="华文楷体" w:cs="华文楷体"/>
          <w:color w:val="FF0000"/>
          <w:sz w:val="21"/>
          <w:szCs w:val="21"/>
          <w:shd w:val="clear" w:color="auto" w:fill="auto"/>
          <w:lang w:eastAsia="zh-CN"/>
        </w:rPr>
        <w:t>ⅰ、Structural features:</w:t>
      </w:r>
    </w:p>
    <w:p>
      <w:pPr>
        <w:spacing w:line="360" w:lineRule="auto"/>
        <w:ind w:left="240" w:hanging="210" w:hangingChars="100"/>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The surface of the heating plate is grinded, the width of the heating plate is 600mm, there are 12 heating plates in total, and the cooling and shaping are 4 meters long. The heating plate is made of container plate, which meets the national first-class pressure vessel standard, and is accompanied by a pressure vessel certificate and an inspection certificate.</w:t>
      </w:r>
    </w:p>
    <w:p>
      <w:pPr>
        <w:spacing w:line="360" w:lineRule="auto"/>
        <w:ind w:left="235" w:hanging="205" w:hangingChars="98"/>
        <w:rPr>
          <w:rFonts w:hint="eastAsia" w:ascii="华文楷体" w:hAnsi="华文楷体" w:eastAsia="华文楷体" w:cs="华文楷体"/>
          <w:sz w:val="21"/>
          <w:szCs w:val="21"/>
        </w:rPr>
      </w:pPr>
      <w:r>
        <w:rPr>
          <w:rFonts w:hint="eastAsia" w:ascii="华文楷体" w:hAnsi="华文楷体" w:eastAsia="华文楷体" w:cs="华文楷体"/>
          <w:color w:val="0000FF"/>
          <w:sz w:val="21"/>
          <w:szCs w:val="21"/>
        </w:rPr>
        <w:t>★</w:t>
      </w:r>
      <w:r>
        <w:rPr>
          <w:rFonts w:hint="eastAsia" w:ascii="华文楷体" w:hAnsi="华文楷体" w:eastAsia="华文楷体" w:cs="华文楷体"/>
          <w:sz w:val="21"/>
          <w:szCs w:val="21"/>
        </w:rPr>
        <w:t>The left and right correction adjustment of the upper conveyor belt adopts pneumatic automatic correction.</w:t>
      </w:r>
    </w:p>
    <w:p>
      <w:pPr>
        <w:spacing w:line="360" w:lineRule="auto"/>
        <w:ind w:left="235" w:hanging="205" w:hangingChars="98"/>
        <w:rPr>
          <w:rFonts w:hint="eastAsia" w:ascii="华文楷体" w:hAnsi="华文楷体" w:eastAsia="华文楷体" w:cs="华文楷体"/>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sz w:val="21"/>
          <w:szCs w:val="21"/>
        </w:rPr>
        <w:t>The heat conduction piping of the heating plate is divided into four sections to control the temperature, with a temperature display.</w:t>
      </w:r>
    </w:p>
    <w:p>
      <w:pPr>
        <w:spacing w:line="360" w:lineRule="auto"/>
        <w:ind w:left="235" w:hanging="205" w:hangingChars="98"/>
        <w:rPr>
          <w:rFonts w:hint="eastAsia" w:ascii="华文楷体" w:hAnsi="华文楷体" w:eastAsia="华文楷体" w:cs="华文楷体"/>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sz w:val="21"/>
          <w:szCs w:val="21"/>
          <w:lang w:eastAsia="zh-CN"/>
        </w:rPr>
        <w:t>The upper cotton webbing adopts a double-cylinder S-type cotton webbing tensioning device.</w:t>
      </w:r>
    </w:p>
    <w:p>
      <w:pPr>
        <w:spacing w:line="360" w:lineRule="auto"/>
        <w:ind w:left="235" w:hanging="205" w:hangingChars="98"/>
        <w:rPr>
          <w:rFonts w:hint="eastAsia" w:ascii="华文楷体" w:hAnsi="华文楷体" w:eastAsia="华文楷体" w:cs="华文楷体"/>
          <w:sz w:val="21"/>
          <w:szCs w:val="21"/>
          <w:lang w:eastAsia="zh-CN"/>
        </w:rPr>
      </w:pPr>
      <w:bookmarkStart w:id="0" w:name="OLE_LINK1"/>
      <w:r>
        <w:rPr>
          <w:rFonts w:hint="eastAsia" w:ascii="华文楷体" w:hAnsi="华文楷体" w:eastAsia="华文楷体" w:cs="华文楷体"/>
          <w:color w:val="0000FF"/>
          <w:sz w:val="21"/>
          <w:szCs w:val="21"/>
        </w:rPr>
        <w:t>★</w:t>
      </w:r>
      <w:bookmarkEnd w:id="0"/>
      <w:r>
        <w:rPr>
          <w:rFonts w:hint="eastAsia" w:ascii="华文楷体" w:hAnsi="华文楷体" w:eastAsia="华文楷体" w:cs="华文楷体"/>
          <w:sz w:val="21"/>
          <w:szCs w:val="21"/>
          <w:lang w:eastAsia="zh-CN"/>
        </w:rPr>
        <w:t>The lower belt adopts pneumatic tensioning and pneumatic correction.</w:t>
      </w:r>
    </w:p>
    <w:p>
      <w:pPr>
        <w:spacing w:line="360" w:lineRule="auto"/>
        <w:ind w:left="235" w:hanging="205" w:hangingChars="98"/>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val="en-US" w:eastAsia="zh-CN"/>
        </w:rPr>
        <w:t>The surface of the drive roller is coated with wear-resistant rubber, which has a herringbone structure with a medium height to ensure a smooth output of the cardboard.</w:t>
      </w:r>
    </w:p>
    <w:p>
      <w:pPr>
        <w:spacing w:line="360" w:lineRule="auto"/>
        <w:ind w:left="236" w:hanging="205" w:hangingChars="98"/>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The main drive motor is a variable-frequency speed-regulating motor with large low-speed torque, wide speed </w:t>
      </w:r>
    </w:p>
    <w:p>
      <w:pPr>
        <w:spacing w:line="360" w:lineRule="auto"/>
        <w:ind w:left="236" w:hanging="205" w:hangingChars="98"/>
        <w:rPr>
          <w:rFonts w:hint="eastAsia" w:ascii="华文楷体" w:hAnsi="华文楷体" w:eastAsia="华文楷体" w:cs="华文楷体"/>
          <w:color w:val="000000"/>
          <w:sz w:val="21"/>
          <w:szCs w:val="21"/>
          <w:lang w:eastAsia="zh-CN"/>
        </w:rPr>
      </w:pPr>
    </w:p>
    <w:p>
      <w:pPr>
        <w:spacing w:line="360" w:lineRule="auto"/>
        <w:ind w:left="236" w:hanging="205" w:hangingChars="98"/>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00"/>
          <w:sz w:val="21"/>
          <w:szCs w:val="21"/>
          <w:lang w:eastAsia="zh-CN"/>
        </w:rPr>
        <w:t>range, reliable use and simple maintenance.</w:t>
      </w:r>
    </w:p>
    <w:p>
      <w:pPr>
        <w:spacing w:line="360" w:lineRule="auto"/>
        <w:ind w:left="236" w:hanging="205" w:hangingChars="98"/>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The inside of the hot plate is a partition isolation structure, so that the steam flows in an S-shaped direction, and the steam and water separation function is obvious, and the steam utilization rate is improved.</w:t>
      </w:r>
    </w:p>
    <w:p>
      <w:pPr>
        <w:spacing w:line="360" w:lineRule="auto"/>
        <w:rPr>
          <w:rFonts w:hint="eastAsia" w:ascii="华文楷体" w:hAnsi="华文楷体" w:eastAsia="华文楷体" w:cs="华文楷体"/>
          <w:color w:val="FF0000"/>
          <w:sz w:val="21"/>
          <w:szCs w:val="21"/>
          <w:shd w:val="clear" w:color="auto" w:fill="auto"/>
          <w:lang w:eastAsia="zh-CN"/>
        </w:rPr>
      </w:pPr>
      <w:r>
        <w:rPr>
          <w:rFonts w:hint="eastAsia" w:ascii="华文楷体" w:hAnsi="华文楷体" w:eastAsia="华文楷体" w:cs="华文楷体"/>
          <w:color w:val="FF0000"/>
          <w:sz w:val="21"/>
          <w:szCs w:val="21"/>
          <w:shd w:val="clear" w:color="auto" w:fill="auto"/>
          <w:lang w:val="en-US" w:eastAsia="zh-CN"/>
        </w:rPr>
        <w:t>ⅱ、</w:t>
      </w:r>
      <w:r>
        <w:rPr>
          <w:rFonts w:hint="eastAsia" w:ascii="华文楷体" w:hAnsi="华文楷体" w:eastAsia="华文楷体" w:cs="华文楷体"/>
          <w:color w:val="FF0000"/>
          <w:sz w:val="21"/>
          <w:szCs w:val="21"/>
          <w:shd w:val="clear" w:color="auto" w:fill="auto"/>
          <w:lang w:eastAsia="zh-CN"/>
        </w:rPr>
        <w:t>technical parameter:</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Temperature requirement: 160—200℃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Steam pressure: 0.8-1.3MPa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Air source pressure: 0.6—0.9MPa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Cooling shaping length: 4 meters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Number of heating plates: 12           </w:t>
      </w:r>
    </w:p>
    <w:p>
      <w:pPr>
        <w:spacing w:line="360" w:lineRule="auto"/>
        <w:rPr>
          <w:rFonts w:hint="eastAsia" w:ascii="华文楷体" w:hAnsi="华文楷体" w:eastAsia="华文楷体" w:cs="华文楷体"/>
          <w:color w:val="FF0000"/>
          <w:sz w:val="21"/>
          <w:szCs w:val="21"/>
          <w:shd w:val="clear" w:color="auto" w:fill="auto"/>
        </w:rPr>
      </w:pPr>
      <w:r>
        <w:rPr>
          <w:rFonts w:hint="eastAsia" w:ascii="华文楷体" w:hAnsi="华文楷体" w:eastAsia="华文楷体" w:cs="华文楷体"/>
          <w:color w:val="FF0000"/>
          <w:sz w:val="21"/>
          <w:szCs w:val="21"/>
          <w:shd w:val="clear" w:color="auto" w:fill="auto"/>
        </w:rPr>
        <w:t>ⅲ</w:t>
      </w:r>
      <w:r>
        <w:rPr>
          <w:rFonts w:hint="eastAsia" w:ascii="华文楷体" w:hAnsi="华文楷体" w:eastAsia="华文楷体" w:cs="华文楷体"/>
          <w:color w:val="FF0000"/>
          <w:sz w:val="21"/>
          <w:szCs w:val="21"/>
          <w:shd w:val="clear" w:color="auto" w:fill="auto"/>
          <w:lang w:eastAsia="zh-CN"/>
        </w:rPr>
        <w:t>、</w:t>
      </w:r>
      <w:r>
        <w:rPr>
          <w:rFonts w:hint="eastAsia" w:ascii="华文楷体" w:hAnsi="华文楷体" w:eastAsia="华文楷体" w:cs="华文楷体"/>
          <w:color w:val="FF0000"/>
          <w:sz w:val="21"/>
          <w:szCs w:val="21"/>
          <w:shd w:val="clear" w:color="auto" w:fill="auto"/>
        </w:rPr>
        <w:t>Roller diameter parameters:</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Diameter of the upper drive rubber roller: ￠700mm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Diameter of the bottom drive rubber roller: ￠400mm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Diameter of the front driven belt roller: ￠215mm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Diameter of the driven belt roller after shaping: ￠215mm</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Diameter of pressing roller: ￠70mm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Diameter of shaping roller: ￠86mm</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 xml:space="preserve">Diameter of upper belt tension roller: ￠155mm         </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Diameter of upper belt deviation adjusting roller: ￠130mm</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Diameter of the lower belt carrier roller: ￠130mm</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Diameter of lower belt tension roller: ￠130mm</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00"/>
          <w:sz w:val="21"/>
          <w:szCs w:val="21"/>
          <w:lang w:eastAsia="zh-CN"/>
        </w:rPr>
        <w:t>Note: The surfaces of all rollers are hard chrome-plated after grinding.</w:t>
      </w:r>
    </w:p>
    <w:p>
      <w:pPr>
        <w:spacing w:line="360" w:lineRule="auto"/>
        <w:rPr>
          <w:rFonts w:hint="eastAsia" w:ascii="华文楷体" w:hAnsi="华文楷体" w:eastAsia="华文楷体" w:cs="华文楷体"/>
          <w:color w:val="FF0000"/>
          <w:sz w:val="21"/>
          <w:szCs w:val="21"/>
          <w:shd w:val="clear" w:color="auto" w:fill="auto"/>
        </w:rPr>
      </w:pPr>
      <w:r>
        <w:rPr>
          <w:rFonts w:hint="eastAsia" w:ascii="华文楷体" w:hAnsi="华文楷体" w:eastAsia="华文楷体" w:cs="华文楷体"/>
          <w:color w:val="FF0000"/>
          <w:sz w:val="21"/>
          <w:szCs w:val="21"/>
          <w:shd w:val="clear" w:color="auto" w:fill="auto"/>
        </w:rPr>
        <w:t>ⅳ</w:t>
      </w:r>
      <w:r>
        <w:rPr>
          <w:rFonts w:hint="eastAsia" w:ascii="华文楷体" w:hAnsi="华文楷体" w:eastAsia="华文楷体" w:cs="华文楷体"/>
          <w:color w:val="FF0000"/>
          <w:sz w:val="21"/>
          <w:szCs w:val="21"/>
          <w:shd w:val="clear" w:color="auto" w:fill="auto"/>
          <w:lang w:eastAsia="zh-CN"/>
        </w:rPr>
        <w:t>、</w:t>
      </w:r>
      <w:r>
        <w:rPr>
          <w:rFonts w:hint="eastAsia" w:ascii="华文楷体" w:hAnsi="华文楷体" w:eastAsia="华文楷体" w:cs="华文楷体"/>
          <w:color w:val="FF0000"/>
          <w:sz w:val="21"/>
          <w:szCs w:val="21"/>
          <w:shd w:val="clear" w:color="auto" w:fill="auto"/>
        </w:rPr>
        <w:t>Power motor parameters:</w:t>
      </w:r>
    </w:p>
    <w:p>
      <w:pPr>
        <w:spacing w:line="360" w:lineRule="auto"/>
        <w:rPr>
          <w:rFonts w:hint="eastAsia" w:ascii="华文楷体" w:hAnsi="华文楷体" w:eastAsia="华文楷体" w:cs="华文楷体"/>
          <w:color w:val="000000"/>
          <w:sz w:val="21"/>
          <w:szCs w:val="21"/>
          <w:lang w:eastAsia="zh-CN"/>
        </w:rPr>
      </w:pPr>
      <w:r>
        <w:rPr>
          <w:rFonts w:hint="eastAsia" w:ascii="华文楷体" w:hAnsi="华文楷体" w:eastAsia="华文楷体" w:cs="华文楷体"/>
          <w:color w:val="0000FF"/>
          <w:sz w:val="21"/>
          <w:szCs w:val="21"/>
        </w:rPr>
        <w:t>★</w:t>
      </w:r>
      <w:r>
        <w:rPr>
          <w:rFonts w:hint="eastAsia" w:ascii="华文楷体" w:hAnsi="华文楷体" w:eastAsia="华文楷体" w:cs="华文楷体"/>
          <w:color w:val="000000"/>
          <w:sz w:val="21"/>
          <w:szCs w:val="21"/>
          <w:lang w:eastAsia="zh-CN"/>
        </w:rPr>
        <w:t>Main drive motor power: 30KW</w:t>
      </w:r>
      <w:bookmarkStart w:id="1" w:name="_GoBack"/>
      <w:bookmarkEnd w:id="1"/>
      <w:r>
        <w:rPr>
          <w:rFonts w:hint="eastAsia" w:ascii="华文楷体" w:hAnsi="华文楷体" w:eastAsia="华文楷体" w:cs="华文楷体"/>
          <w:color w:val="000000"/>
          <w:sz w:val="21"/>
          <w:szCs w:val="21"/>
          <w:lang w:eastAsia="zh-CN"/>
        </w:rPr>
        <w:t xml:space="preserve">       </w:t>
      </w:r>
    </w:p>
    <w:p>
      <w:pPr>
        <w:numPr>
          <w:ilvl w:val="0"/>
          <w:numId w:val="0"/>
        </w:numPr>
        <w:spacing w:line="460" w:lineRule="atLeast"/>
        <w:jc w:val="left"/>
        <w:rPr>
          <w:rFonts w:hint="eastAsia" w:ascii="华文楷体" w:hAnsi="华文楷体" w:eastAsia="华文楷体" w:cs="华文楷体"/>
          <w:color w:val="FF0000"/>
          <w:sz w:val="21"/>
          <w:szCs w:val="21"/>
          <w:shd w:val="clear" w:color="FFFFFF" w:fill="D9D9D9"/>
          <w:lang w:val="en-US" w:eastAsia="zh-CN"/>
        </w:rPr>
      </w:pPr>
    </w:p>
    <w:p>
      <w:pPr>
        <w:tabs>
          <w:tab w:val="left" w:pos="1041"/>
        </w:tabs>
        <w:bidi w:val="0"/>
        <w:jc w:val="left"/>
        <w:rPr>
          <w:rFonts w:hint="eastAsia" w:ascii="华文楷体" w:hAnsi="华文楷体" w:eastAsia="华文楷体" w:cs="华文楷体"/>
          <w:sz w:val="21"/>
          <w:szCs w:val="21"/>
          <w:lang w:val="en-US" w:eastAsia="zh-CN"/>
        </w:rPr>
      </w:pPr>
    </w:p>
    <w:sectPr>
      <w:headerReference r:id="rId3" w:type="default"/>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cs="黑体"/>
        <w:b/>
        <w:bCs/>
        <w:sz w:val="32"/>
        <w:szCs w:val="48"/>
        <w:lang w:val="en-US" w:eastAsia="zh-CN"/>
      </w:rPr>
    </w:pPr>
    <w:r>
      <w:rPr>
        <w:rFonts w:hint="eastAsia" w:ascii="黑体" w:hAnsi="黑体" w:eastAsia="黑体" w:cs="黑体"/>
        <w:b/>
        <w:bCs/>
        <w:sz w:val="32"/>
        <w:szCs w:val="48"/>
        <w:lang w:val="en-US" w:eastAsia="zh-CN"/>
      </w:rPr>
      <w:drawing>
        <wp:anchor distT="0" distB="0" distL="114300" distR="114300" simplePos="0" relativeHeight="251659264" behindDoc="0" locked="0" layoutInCell="1" allowOverlap="1">
          <wp:simplePos x="0" y="0"/>
          <wp:positionH relativeFrom="column">
            <wp:posOffset>-184785</wp:posOffset>
          </wp:positionH>
          <wp:positionV relativeFrom="paragraph">
            <wp:posOffset>-305435</wp:posOffset>
          </wp:positionV>
          <wp:extent cx="727710" cy="765810"/>
          <wp:effectExtent l="0" t="0" r="15240" b="15240"/>
          <wp:wrapNone/>
          <wp:docPr id="2" name="图片 2" descr="电子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电子logo"/>
                  <pic:cNvPicPr>
                    <a:picLocks noChangeAspect="1"/>
                  </pic:cNvPicPr>
                </pic:nvPicPr>
                <pic:blipFill>
                  <a:blip r:embed="rId1"/>
                  <a:stretch>
                    <a:fillRect/>
                  </a:stretch>
                </pic:blipFill>
                <pic:spPr>
                  <a:xfrm>
                    <a:off x="0" y="0"/>
                    <a:ext cx="727710" cy="765810"/>
                  </a:xfrm>
                  <a:prstGeom prst="rect">
                    <a:avLst/>
                  </a:prstGeom>
                </pic:spPr>
              </pic:pic>
            </a:graphicData>
          </a:graphic>
        </wp:anchor>
      </w:drawing>
    </w:r>
    <w:r>
      <w:rPr>
        <w:rFonts w:hint="eastAsia" w:ascii="黑体" w:hAnsi="黑体" w:eastAsia="黑体" w:cs="黑体"/>
        <w:b/>
        <w:bCs/>
        <w:sz w:val="32"/>
        <w:szCs w:val="48"/>
        <w:lang w:val="en-US" w:eastAsia="zh-CN"/>
      </w:rPr>
      <w:t xml:space="preserve">   Dongguang Hengchuangli Carton Machinery Co., Ltd.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BA758D"/>
    <w:rsid w:val="5DBA7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HK"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2021-10-05T03:46:00Z</dcterms:created>
  <dc:creator>期待改变你，我，它</dc:creator>
  <cp:lastModifiedBy>期待改变你，我，它</cp:lastModifiedBy>
  <dcterms:modified xsi:type="dcterms:W3CDTF">2021-10-05T06:05:57Z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D4E524E004884ED3B6FA6CC10E9145EB</vt:lpwstr>
  </property>
</Properties>
</file>