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bidi w:val="0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one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noodle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machine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match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Set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and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Skill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Technique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Say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  <w:r>
        <w:rPr>
          <w:rFonts w:hint="eastAsia"/>
          <w:sz w:val="52"/>
          <w:szCs w:val="72"/>
          <w:lang w:val="en-US" w:eastAsia="zh-CN"/>
        </w:rPr>
        <w:t>bright</w:t>
      </w: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bidi w:val="0"/>
        <w:ind w:firstLine="493" w:firstLineChars="0"/>
        <w:jc w:val="center"/>
        <w:rPr>
          <w:rFonts w:hint="eastAsia"/>
          <w:sz w:val="52"/>
          <w:szCs w:val="72"/>
          <w:lang w:val="en-US" w:eastAsia="zh-CN"/>
        </w:rPr>
      </w:pPr>
    </w:p>
    <w:p>
      <w:pPr>
        <w:bidi w:val="0"/>
        <w:jc w:val="both"/>
        <w:rPr>
          <w:rFonts w:hint="eastAsia"/>
          <w:sz w:val="52"/>
          <w:szCs w:val="72"/>
          <w:lang w:val="en-US" w:eastAsia="zh-CN"/>
        </w:rPr>
      </w:pPr>
    </w:p>
    <w:p>
      <w:pPr>
        <w:spacing w:line="360" w:lineRule="auto"/>
        <w:rPr>
          <w:rFonts w:hint="eastAsia" w:ascii="宋体" w:hAnsi="宋体"/>
          <w:color w:val="000000"/>
          <w:sz w:val="21"/>
          <w:szCs w:val="21"/>
        </w:rPr>
      </w:pPr>
      <w:r>
        <w:rPr>
          <w:rFonts w:hint="eastAsia" w:ascii="宋体" w:hAnsi="宋体"/>
          <w:color w:val="000000"/>
          <w:sz w:val="21"/>
          <w:szCs w:val="21"/>
        </w:rPr>
        <w:t xml:space="preserve">  </w:t>
      </w:r>
    </w:p>
    <w:tbl>
      <w:tblPr>
        <w:tblStyle w:val="4"/>
        <w:tblpPr w:leftFromText="180" w:rightFromText="180" w:vertAnchor="text" w:horzAnchor="page" w:tblpX="364" w:tblpY="255"/>
        <w:tblOverlap w:val="never"/>
        <w:tblW w:w="11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540"/>
        <w:gridCol w:w="1273"/>
        <w:gridCol w:w="1942"/>
        <w:gridCol w:w="5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99" w:leftChars="-95" w:right="0" w:rightChars="0" w:firstLine="247" w:firstLineChars="118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Specification model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 xml:space="preserve">Equipment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name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quantity</w:t>
            </w:r>
          </w:p>
        </w:tc>
        <w:tc>
          <w:tcPr>
            <w:tcW w:w="19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" w:leftChars="0" w:right="0" w:rightChars="0" w:firstLine="5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unit price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" w:leftChars="0" w:right="0" w:rightChars="0" w:firstLine="5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(Ten thousand yuan)</w:t>
            </w:r>
          </w:p>
        </w:tc>
        <w:tc>
          <w:tcPr>
            <w:tcW w:w="53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406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9" w:leftChars="-18" w:right="0" w:rightChars="0" w:hanging="29" w:hangingChars="14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shd w:val="clear" w:color="auto" w:fill="auto"/>
                <w:lang w:val="en-US" w:eastAsia="zh-CN"/>
              </w:rPr>
              <w:t>SF-320C</w:t>
            </w:r>
          </w:p>
        </w:tc>
        <w:tc>
          <w:tcPr>
            <w:tcW w:w="1540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8" w:leftChars="0" w:right="0" w:rightChars="0" w:firstLine="5" w:firstLineChars="0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eastAsia="zh-CN"/>
              </w:rPr>
              <w:t>Single-sided corrugating machine</w:t>
            </w:r>
            <w:r>
              <w:rPr>
                <w:rFonts w:hint="eastAsia" w:ascii="华文楷体" w:hAnsi="华文楷体" w:eastAsia="华文楷体" w:cs="华文楷体"/>
                <w:sz w:val="21"/>
                <w:szCs w:val="21"/>
                <w:shd w:val="clear" w:color="auto" w:fill="auto"/>
                <w:lang w:val="en-US" w:eastAsia="zh-CN"/>
              </w:rPr>
              <w:t xml:space="preserve"> </w:t>
            </w:r>
          </w:p>
        </w:tc>
        <w:tc>
          <w:tcPr>
            <w:tcW w:w="127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21"/>
                <w:szCs w:val="21"/>
                <w:lang w:val="en-US" w:eastAsia="zh-CN"/>
              </w:rPr>
              <w:t>1 set</w:t>
            </w:r>
          </w:p>
        </w:tc>
        <w:tc>
          <w:tcPr>
            <w:tcW w:w="1942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288" w:leftChars="-137" w:right="0" w:rightChars="0" w:firstLine="249" w:firstLineChars="119"/>
              <w:jc w:val="center"/>
              <w:textAlignment w:val="auto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357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3" w:leftChars="-18" w:right="0" w:rightChars="0" w:hanging="25" w:hangingChars="14"/>
              <w:jc w:val="left"/>
              <w:textAlignment w:val="auto"/>
              <w:rPr>
                <w:rFonts w:hint="eastAsia" w:ascii="华文楷体" w:hAnsi="华文楷体" w:eastAsia="华文楷体" w:cs="华文楷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华文楷体" w:hAnsi="华文楷体" w:eastAsia="华文楷体" w:cs="华文楷体"/>
                <w:sz w:val="18"/>
                <w:szCs w:val="18"/>
                <w:lang w:eastAsia="zh-CN"/>
              </w:rPr>
              <w:t>Corrugated main roller ￠320mm, the material is treated with tungsten carbide, the corrugated rollers are exchanged in groups, airbag ballast structure, imported main bearing, PLC automatic control glue, man-machine interface touch screen, paper break automatic parking and pressure relief, steam heating method.</w:t>
            </w:r>
          </w:p>
        </w:tc>
      </w:tr>
    </w:tbl>
    <w:p>
      <w:pPr>
        <w:tabs>
          <w:tab w:val="left" w:pos="1361"/>
        </w:tabs>
        <w:bidi w:val="0"/>
        <w:jc w:val="left"/>
        <w:rPr>
          <w:rFonts w:hint="eastAsia" w:ascii="华文楷体" w:hAnsi="华文楷体" w:eastAsia="华文楷体" w:cs="华文楷体"/>
          <w:sz w:val="21"/>
          <w:szCs w:val="21"/>
          <w:lang w:val="en-US" w:eastAsia="zh-CN"/>
        </w:rPr>
      </w:pPr>
    </w:p>
    <w:p>
      <w:pPr>
        <w:spacing w:line="360" w:lineRule="auto"/>
        <w:jc w:val="left"/>
        <w:rPr>
          <w:rFonts w:hint="eastAsia" w:ascii="华文楷体" w:hAnsi="华文楷体" w:eastAsia="华文楷体" w:cs="华文楷体"/>
          <w:b/>
          <w:bCs/>
          <w:color w:val="FF0000"/>
          <w:sz w:val="21"/>
          <w:szCs w:val="21"/>
          <w:shd w:val="clear" w:color="auto" w:fill="auto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auto"/>
        </w:rPr>
        <w:t>SF-320C Adsorption Single Facer</w:t>
      </w:r>
      <w:r>
        <w:rPr>
          <w:rFonts w:hint="eastAsia" w:ascii="华文楷体" w:hAnsi="华文楷体" w:eastAsia="华文楷体" w:cs="华文楷体"/>
          <w:b/>
          <w:bCs/>
          <w:color w:val="FF0000"/>
          <w:sz w:val="28"/>
          <w:szCs w:val="28"/>
          <w:shd w:val="clear" w:color="auto" w:fill="auto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b/>
          <w:bCs/>
          <w:color w:val="FF0000"/>
          <w:sz w:val="21"/>
          <w:szCs w:val="21"/>
          <w:shd w:val="clear" w:color="auto" w:fill="auto"/>
          <w:lang w:val="en-US" w:eastAsia="zh-CN"/>
        </w:rPr>
        <w:t xml:space="preserve">  </w:t>
      </w: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680720</wp:posOffset>
            </wp:positionH>
            <wp:positionV relativeFrom="paragraph">
              <wp:posOffset>64770</wp:posOffset>
            </wp:positionV>
            <wp:extent cx="4630420" cy="2723515"/>
            <wp:effectExtent l="0" t="0" r="17780" b="635"/>
            <wp:wrapNone/>
            <wp:docPr id="3" name="图片 1" descr="图片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 descr="图片4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30420" cy="272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</w:p>
    <w:p>
      <w:pPr>
        <w:spacing w:line="360" w:lineRule="auto"/>
        <w:jc w:val="center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sz w:val="21"/>
          <w:szCs w:val="21"/>
          <w:lang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3070225</wp:posOffset>
            </wp:positionH>
            <wp:positionV relativeFrom="paragraph">
              <wp:posOffset>74295</wp:posOffset>
            </wp:positionV>
            <wp:extent cx="2773045" cy="1969135"/>
            <wp:effectExtent l="0" t="0" r="8255" b="12065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196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华文楷体" w:hAnsi="华文楷体" w:eastAsia="华文楷体" w:cs="华文楷体"/>
          <w:b w:val="0"/>
          <w:bCs w:val="0"/>
          <w:sz w:val="21"/>
          <w:szCs w:val="21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-443865</wp:posOffset>
            </wp:positionH>
            <wp:positionV relativeFrom="paragraph">
              <wp:posOffset>15240</wp:posOffset>
            </wp:positionV>
            <wp:extent cx="2869565" cy="1978025"/>
            <wp:effectExtent l="0" t="0" r="6985" b="3175"/>
            <wp:wrapNone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6956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</w:p>
    <w:p>
      <w:pPr>
        <w:spacing w:line="360" w:lineRule="auto"/>
        <w:jc w:val="both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ⅰ、Structural features:</w:t>
      </w:r>
    </w:p>
    <w:p>
      <w:pPr>
        <w:spacing w:line="360" w:lineRule="auto"/>
        <w:ind w:left="235" w:hanging="205" w:hangingChars="98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It adopts a hood suction structure and is equipped with a high-pressure and powerful fan. The air source and electric control are concentrated in the same operation cabinet, and the operation side is fully enclosed and fully covered.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High-quality resin sand castings, wall thickness 200mm.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 xml:space="preserve">A hoisting trolley is installed on the conveying bridge, which is used to take out the tile roller assembly and pressure roller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100" w:right="0" w:rightChars="0" w:firstLine="0" w:firstLineChars="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when necessary, which is convenient and quick.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FF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The glue roller unit adopts an overall outward-moving structure, which can be moved out of the machine as a whole for maintenance during maintenance, which improves work efficiency.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Equipped with spray humidity control device, the corrugated shape maintains good deformation stability and avoids dry cracking.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It adopts an automatic circulating glue supply system and a double-cylinder pneumatic glue application device, which has a good buffering effect.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atLeast"/>
        <w:ind w:left="210" w:leftChars="0" w:right="0" w:rightChars="0" w:hanging="210" w:hangingChars="100"/>
        <w:textAlignment w:val="auto"/>
        <w:outlineLvl w:val="9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The gluing part adopts an integral sliding plate structure, and the surface of the gluing roller is finely ground and engraved with 32-line pit-type nets and plated with hard chrome.</w:t>
      </w:r>
    </w:p>
    <w:p>
      <w:pPr>
        <w:spacing w:line="360" w:lineRule="auto"/>
        <w:ind w:left="240" w:hanging="210" w:hangingChars="100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</w:rPr>
        <w:t>The material of the corrugated roller is treated with tungsten carbide. The diameter of the main corrugated roller is ¢ 320mm. After quenching and tempering → rough turning → inner hole fine boring → shaft head baking → welding → tempering to stress → fine turning → rough grinding → intermediate frequency quenching → CNC grinding machine fine grind</w:t>
      </w:r>
    </w:p>
    <w:p>
      <w:pPr>
        <w:spacing w:line="360" w:lineRule="auto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The main power is driven by a variable frequency motor, which is energy-saving and efficient, and has a low failure rate.</w:t>
      </w:r>
    </w:p>
    <w:p>
      <w:pPr>
        <w:spacing w:line="360" w:lineRule="auto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The width of the glue is adjusted electrically to adapt to the change in the width of the base paper used.</w:t>
      </w:r>
    </w:p>
    <w:p>
      <w:pPr>
        <w:spacing w:line="360" w:lineRule="auto"/>
        <w:ind w:left="240" w:hanging="210" w:hangingChars="100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The amount of glue applied is adjusted electrically, displayed and operated on the touch screen, and the glue gap is transmitted through the encoder with high accuracy.</w:t>
      </w:r>
    </w:p>
    <w:p>
      <w:pPr>
        <w:spacing w:line="360" w:lineRule="auto"/>
        <w:ind w:left="240" w:hanging="210" w:hangingChars="100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b w:val="0"/>
          <w:bCs w:val="0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The power and operating parts are equipped with safety protection nets to ensure the safety of personnel when the machine is running.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FFFFFF" w:fill="D9D9D9"/>
          <w:lang w:eastAsia="zh-CN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ⅱ、technical parameter: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Working width: 2200mm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                  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Operation direction: left or right (determined according to customer's factory)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Design speed: 150m/min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   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  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Temperature range: 160—180℃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Corrugated type (UV type or UVV type):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</w:rPr>
        <w:t>ⅲ</w:t>
      </w: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</w:rPr>
        <w:t>Roller diameter parameters: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Corrugated roller diameter: up￠313mm down￠316mm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 xml:space="preserve">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 xml:space="preserve">  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Diameter of pressure roller: ￠320mm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  <w:lang w:val="en-US" w:eastAsia="zh-CN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Diameter of rubber roller: ￠240mm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shd w:val="clear" w:color="auto" w:fill="auto"/>
          <w:lang w:val="en-US" w:eastAsia="zh-CN"/>
        </w:rPr>
        <w:t xml:space="preserve"> 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  <w:lang w:eastAsia="zh-CN"/>
        </w:rPr>
        <w:t xml:space="preserve">     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 xml:space="preserve"> 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FF"/>
          <w:sz w:val="21"/>
          <w:szCs w:val="21"/>
        </w:rPr>
      </w:pPr>
    </w:p>
    <w:p>
      <w:pPr>
        <w:spacing w:line="360" w:lineRule="auto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Fixed glue roller: ￠140mm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000000"/>
          <w:sz w:val="21"/>
          <w:szCs w:val="21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color w:val="000000"/>
          <w:sz w:val="21"/>
          <w:szCs w:val="21"/>
        </w:rPr>
        <w:t>Diameter of preheater: ￠402mm</w:t>
      </w:r>
    </w:p>
    <w:p>
      <w:pPr>
        <w:spacing w:line="360" w:lineRule="auto"/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</w:rPr>
      </w:pP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</w:rPr>
        <w:t>ⅳ</w:t>
      </w: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  <w:lang w:eastAsia="zh-CN"/>
        </w:rPr>
        <w:t>、</w:t>
      </w:r>
      <w:r>
        <w:rPr>
          <w:rFonts w:hint="eastAsia" w:ascii="华文楷体" w:hAnsi="华文楷体" w:eastAsia="华文楷体" w:cs="华文楷体"/>
          <w:color w:val="FF0000"/>
          <w:sz w:val="21"/>
          <w:szCs w:val="21"/>
          <w:shd w:val="clear" w:color="auto" w:fill="auto"/>
        </w:rPr>
        <w:t>Power motor parameters:</w:t>
      </w:r>
    </w:p>
    <w:p>
      <w:pPr>
        <w:spacing w:line="360" w:lineRule="auto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Main variable frequency drive motor: 18.5KW</w:t>
      </w:r>
    </w:p>
    <w:p>
      <w:pPr>
        <w:spacing w:line="360" w:lineRule="auto"/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val="en-US" w:eastAsia="zh-CN"/>
        </w:rPr>
        <w:t xml:space="preserve">Suction motor: 11KW        </w:t>
      </w:r>
    </w:p>
    <w:p>
      <w:pPr>
        <w:numPr>
          <w:ilvl w:val="0"/>
          <w:numId w:val="0"/>
        </w:numPr>
        <w:spacing w:line="360" w:lineRule="auto"/>
        <w:rPr>
          <w:rFonts w:hint="eastAsia" w:ascii="华文楷体" w:hAnsi="华文楷体" w:eastAsia="华文楷体" w:cs="华文楷体"/>
          <w:b w:val="0"/>
          <w:bCs/>
          <w:color w:val="000000"/>
          <w:sz w:val="21"/>
          <w:szCs w:val="21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 xml:space="preserve">Glue reducer: 100W  </w:t>
      </w:r>
    </w:p>
    <w:p>
      <w:pPr>
        <w:numPr>
          <w:ilvl w:val="0"/>
          <w:numId w:val="0"/>
        </w:numPr>
        <w:spacing w:line="360" w:lineRule="auto"/>
        <w:rPr>
          <w:rFonts w:hint="eastAsia" w:ascii="华文楷体" w:hAnsi="华文楷体" w:eastAsia="华文楷体" w:cs="华文楷体"/>
          <w:b w:val="0"/>
          <w:bCs/>
          <w:color w:val="000000"/>
          <w:sz w:val="21"/>
          <w:szCs w:val="21"/>
          <w:lang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Glue spacer adjustment motor: 200W *2</w:t>
      </w:r>
    </w:p>
    <w:p>
      <w:pPr>
        <w:numPr>
          <w:ilvl w:val="0"/>
          <w:numId w:val="0"/>
        </w:numPr>
        <w:spacing w:line="360" w:lineRule="auto"/>
        <w:ind w:leftChars="0"/>
        <w:rPr>
          <w:rFonts w:hint="eastAsia"/>
          <w:sz w:val="52"/>
          <w:szCs w:val="72"/>
          <w:lang w:val="en-US" w:eastAsia="zh-CN"/>
        </w:rPr>
      </w:pPr>
      <w:r>
        <w:rPr>
          <w:rFonts w:hint="eastAsia" w:ascii="华文楷体" w:hAnsi="华文楷体" w:eastAsia="华文楷体" w:cs="华文楷体"/>
          <w:color w:val="0000FF"/>
          <w:sz w:val="21"/>
          <w:szCs w:val="21"/>
        </w:rPr>
        <w:t>★</w:t>
      </w:r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>Glue pump motor: 2.2KW</w:t>
      </w:r>
      <w:bookmarkStart w:id="0" w:name="_GoBack"/>
      <w:bookmarkEnd w:id="0"/>
      <w:r>
        <w:rPr>
          <w:rFonts w:hint="eastAsia" w:ascii="华文楷体" w:hAnsi="华文楷体" w:eastAsia="华文楷体" w:cs="华文楷体"/>
          <w:b w:val="0"/>
          <w:bCs w:val="0"/>
          <w:color w:val="000000"/>
          <w:sz w:val="21"/>
          <w:szCs w:val="21"/>
          <w:lang w:eastAsia="zh-CN"/>
        </w:rPr>
        <w:t xml:space="preserve"> </w:t>
      </w:r>
    </w:p>
    <w:sectPr>
      <w:headerReference r:id="rId3" w:type="default"/>
      <w:footerReference r:id="rId4" w:type="default"/>
      <w:pgSz w:w="11906" w:h="16838"/>
      <w:pgMar w:top="1134" w:right="567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Arial" w:hAnsi="Arial" w:eastAsia="宋体" w:cs="Arial"/>
        <w:b w:val="0"/>
        <w:i w:val="0"/>
        <w:caps w:val="0"/>
        <w:color w:val="2E3033"/>
        <w:spacing w:val="0"/>
        <w:sz w:val="18"/>
        <w:szCs w:val="18"/>
        <w:shd w:val="clear" w:color="auto" w:fill="auto"/>
      </w:rPr>
    </w:pPr>
    <w:r>
      <w:rPr>
        <w:rFonts w:hint="eastAsia" w:ascii="Arial" w:hAnsi="Arial" w:eastAsia="宋体" w:cs="Arial"/>
        <w:b w:val="0"/>
        <w:i w:val="0"/>
        <w:caps w:val="0"/>
        <w:color w:val="2E3033"/>
        <w:spacing w:val="0"/>
        <w:sz w:val="18"/>
        <w:szCs w:val="18"/>
        <w:shd w:val="clear" w:color="auto" w:fill="auto"/>
      </w:rPr>
      <w:t xml:space="preserve">All the parameters of this document and the right of explanation of the photo shall be owned by the company, </w:t>
    </w:r>
  </w:p>
  <w:p>
    <w:pPr>
      <w:pStyle w:val="2"/>
      <w:jc w:val="center"/>
      <w:rPr>
        <w:rFonts w:hint="eastAsia"/>
        <w:sz w:val="18"/>
        <w:szCs w:val="18"/>
        <w:shd w:val="clear" w:color="auto" w:fill="auto"/>
        <w:lang w:eastAsia="zh-CN"/>
      </w:rPr>
    </w:pPr>
    <w:r>
      <w:rPr>
        <w:rFonts w:hint="eastAsia" w:ascii="Arial" w:hAnsi="Arial" w:eastAsia="宋体" w:cs="Arial"/>
        <w:b w:val="0"/>
        <w:i w:val="0"/>
        <w:caps w:val="0"/>
        <w:color w:val="2E3033"/>
        <w:spacing w:val="0"/>
        <w:sz w:val="18"/>
        <w:szCs w:val="18"/>
        <w:shd w:val="clear" w:color="auto" w:fill="auto"/>
      </w:rPr>
      <w:t>subject to change without prior notice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黑体" w:hAnsi="黑体" w:eastAsia="黑体" w:cs="黑体"/>
        <w:b/>
        <w:bCs/>
        <w:sz w:val="32"/>
        <w:szCs w:val="48"/>
        <w:lang w:eastAsia="zh-CN"/>
      </w:rPr>
    </w:pPr>
    <w:r>
      <w:rPr>
        <w:rFonts w:hint="eastAsia" w:ascii="黑体" w:hAnsi="黑体" w:eastAsia="黑体" w:cs="黑体"/>
        <w:b/>
        <w:bCs/>
        <w:sz w:val="32"/>
        <w:szCs w:val="48"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-177165</wp:posOffset>
          </wp:positionH>
          <wp:positionV relativeFrom="paragraph">
            <wp:posOffset>-288925</wp:posOffset>
          </wp:positionV>
          <wp:extent cx="682625" cy="719455"/>
          <wp:effectExtent l="0" t="0" r="3175" b="4445"/>
          <wp:wrapNone/>
          <wp:docPr id="1" name="图片 1" descr="电子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电子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262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hint="eastAsia" w:ascii="黑体" w:hAnsi="黑体" w:eastAsia="黑体" w:cs="黑体"/>
        <w:b/>
        <w:bCs/>
        <w:sz w:val="32"/>
        <w:szCs w:val="48"/>
        <w:lang w:eastAsia="zh-CN"/>
      </w:rPr>
      <w:t>Dongguang Hengchuangli Carton Machinery Co., Ltd.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FD5B14"/>
    <w:rsid w:val="03435669"/>
    <w:rsid w:val="1197185D"/>
    <w:rsid w:val="13885637"/>
    <w:rsid w:val="1B112CFA"/>
    <w:rsid w:val="1DEB7E13"/>
    <w:rsid w:val="21447766"/>
    <w:rsid w:val="2FFD5B14"/>
    <w:rsid w:val="516439EB"/>
    <w:rsid w:val="544C3B3A"/>
    <w:rsid w:val="646A3271"/>
    <w:rsid w:val="65714A43"/>
    <w:rsid w:val="67653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2021-08-24T00:06:00Z</dcterms:created>
  <dc:creator>期待改变你，我，它</dc:creator>
  <cp:lastModifiedBy>期待改变你，我，它</cp:lastModifiedBy>
  <dcterms:modified xsi:type="dcterms:W3CDTF">2021-10-05T03:43:04Z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32A465E9897E40EEA1215E5579386338</vt:lpwstr>
  </property>
</Properties>
</file>