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D8EACB"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专家意见修改索引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8"/>
        <w:gridCol w:w="4759"/>
        <w:gridCol w:w="3336"/>
        <w:gridCol w:w="5527"/>
      </w:tblGrid>
      <w:tr w14:paraId="6BA0C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8" w:type="dxa"/>
            <w:vAlign w:val="center"/>
          </w:tcPr>
          <w:p w14:paraId="2E91D26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序号</w:t>
            </w:r>
          </w:p>
        </w:tc>
        <w:tc>
          <w:tcPr>
            <w:tcW w:w="4759" w:type="dxa"/>
            <w:vAlign w:val="center"/>
          </w:tcPr>
          <w:p w14:paraId="6E47D96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专家意见</w:t>
            </w:r>
          </w:p>
        </w:tc>
        <w:tc>
          <w:tcPr>
            <w:tcW w:w="3336" w:type="dxa"/>
            <w:vAlign w:val="center"/>
          </w:tcPr>
          <w:p w14:paraId="18F5714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修改索引</w:t>
            </w:r>
          </w:p>
        </w:tc>
        <w:tc>
          <w:tcPr>
            <w:tcW w:w="5527" w:type="dxa"/>
            <w:vAlign w:val="center"/>
          </w:tcPr>
          <w:p w14:paraId="43A20B1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详情</w:t>
            </w:r>
          </w:p>
        </w:tc>
      </w:tr>
      <w:tr w14:paraId="5CBE0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8" w:type="dxa"/>
            <w:vAlign w:val="center"/>
          </w:tcPr>
          <w:p w14:paraId="7321D6C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</w:t>
            </w:r>
          </w:p>
        </w:tc>
        <w:tc>
          <w:tcPr>
            <w:tcW w:w="4759" w:type="dxa"/>
            <w:vAlign w:val="center"/>
          </w:tcPr>
          <w:p w14:paraId="3DEB381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项目PFA产品生产工艺从分散聚合(分散聚合后乳液需要加入20%稀硝酸用于凝聚分离)调整为悬浮聚合法(取消使用稀硝酸)，核实工艺调整后清洗废水量变化情况。</w:t>
            </w:r>
          </w:p>
        </w:tc>
        <w:tc>
          <w:tcPr>
            <w:tcW w:w="3336" w:type="dxa"/>
            <w:vAlign w:val="center"/>
          </w:tcPr>
          <w:p w14:paraId="7B6FBC7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已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核实工艺调整后清洗废水量变化情况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，详见报告P12</w:t>
            </w:r>
          </w:p>
        </w:tc>
        <w:tc>
          <w:tcPr>
            <w:tcW w:w="5527" w:type="dxa"/>
            <w:vAlign w:val="center"/>
          </w:tcPr>
          <w:p w14:paraId="44FEC43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drawing>
                <wp:inline distT="0" distB="0" distL="114300" distR="114300">
                  <wp:extent cx="3367405" cy="817880"/>
                  <wp:effectExtent l="0" t="0" r="4445" b="1270"/>
                  <wp:docPr id="5" name="图片 5" descr="7f49d4cd-1b61-4bab-b335-3e7c7e6b1e0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7f49d4cd-1b61-4bab-b335-3e7c7e6b1e0a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7405" cy="817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407D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8" w:type="dxa"/>
            <w:vAlign w:val="center"/>
          </w:tcPr>
          <w:p w14:paraId="087B191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2</w:t>
            </w:r>
          </w:p>
        </w:tc>
        <w:tc>
          <w:tcPr>
            <w:tcW w:w="4759" w:type="dxa"/>
            <w:vAlign w:val="center"/>
          </w:tcPr>
          <w:p w14:paraId="1E5D883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细化说明调整前后DA018排气筒废气排放内容的变动情况，充分论证调整后排放风量25000m</w:t>
            </w:r>
            <w:r>
              <w:rPr>
                <w:rFonts w:hint="eastAsia" w:ascii="Times New Roman" w:hAnsi="Times New Roman" w:cs="Times New Roman"/>
                <w:vertAlign w:val="superscript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/h的确定依据和必要性。</w:t>
            </w:r>
          </w:p>
        </w:tc>
        <w:tc>
          <w:tcPr>
            <w:tcW w:w="3336" w:type="dxa"/>
            <w:vAlign w:val="center"/>
          </w:tcPr>
          <w:p w14:paraId="2E361D6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细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已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化说明调整前后DA018排气筒废气排放内容的变动情况，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已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充分论证调整后排放风量25000m</w:t>
            </w:r>
            <w:r>
              <w:rPr>
                <w:rFonts w:hint="eastAsia" w:ascii="Times New Roman" w:hAnsi="Times New Roman" w:cs="Times New Roman"/>
                <w:vertAlign w:val="superscript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/h的确定依据和必要性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，详见报告 P15-16，22</w:t>
            </w:r>
          </w:p>
        </w:tc>
        <w:tc>
          <w:tcPr>
            <w:tcW w:w="5527" w:type="dxa"/>
            <w:vAlign w:val="center"/>
          </w:tcPr>
          <w:p w14:paraId="6BE1173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drawing>
                <wp:inline distT="0" distB="0" distL="114300" distR="114300">
                  <wp:extent cx="3368040" cy="826135"/>
                  <wp:effectExtent l="0" t="0" r="3810" b="12065"/>
                  <wp:docPr id="1" name="图片 1" descr="48f2e9db-81e1-4ee4-bf87-04595389ec0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48f2e9db-81e1-4ee4-bf87-04595389ec0c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040" cy="826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0DC3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8" w:type="dxa"/>
            <w:vAlign w:val="center"/>
          </w:tcPr>
          <w:p w14:paraId="432BD30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3</w:t>
            </w:r>
          </w:p>
        </w:tc>
        <w:tc>
          <w:tcPr>
            <w:tcW w:w="4759" w:type="dxa"/>
            <w:vAlign w:val="center"/>
          </w:tcPr>
          <w:p w14:paraId="10B94B0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细化说明产品的污染因子、污染源强变动对比情况分析，完善总量控制符合</w:t>
            </w:r>
          </w:p>
        </w:tc>
        <w:tc>
          <w:tcPr>
            <w:tcW w:w="3336" w:type="dxa"/>
            <w:vAlign w:val="center"/>
          </w:tcPr>
          <w:p w14:paraId="06427B5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已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细化说明产品的污染因子、污染源强变动对比情况分析，完善总量控制符合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，详见报告P15-18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，22</w:t>
            </w:r>
          </w:p>
        </w:tc>
        <w:tc>
          <w:tcPr>
            <w:tcW w:w="5527" w:type="dxa"/>
            <w:vAlign w:val="center"/>
          </w:tcPr>
          <w:p w14:paraId="76CA883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drawing>
                <wp:inline distT="0" distB="0" distL="114300" distR="114300">
                  <wp:extent cx="3195320" cy="2062480"/>
                  <wp:effectExtent l="0" t="0" r="5080" b="13970"/>
                  <wp:docPr id="2" name="图片 2" descr="741d3316-37ec-4994-9758-ceeb5b91a14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741d3316-37ec-4994-9758-ceeb5b91a14b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5320" cy="2062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drawing>
                <wp:inline distT="0" distB="0" distL="114300" distR="114300">
                  <wp:extent cx="3369945" cy="2345055"/>
                  <wp:effectExtent l="0" t="0" r="1905" b="17145"/>
                  <wp:docPr id="3" name="图片 3" descr="c9745183-7d02-4504-8444-03f77cddfb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c9745183-7d02-4504-8444-03f77cddfb9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9945" cy="2345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5B83A4">
      <w:pPr>
        <w:jc w:val="center"/>
        <w:rPr>
          <w:rFonts w:hint="default"/>
          <w:lang w:val="en-US" w:eastAsia="zh-CN"/>
        </w:rPr>
      </w:pPr>
    </w:p>
    <w:sectPr>
      <w:pgSz w:w="16838" w:h="11906" w:orient="landscape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0130B7"/>
    <w:rsid w:val="62AB06AF"/>
    <w:rsid w:val="7F53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294</Words>
  <Characters>333</Characters>
  <Lines>0</Lines>
  <Paragraphs>0</Paragraphs>
  <TotalTime>0</TotalTime>
  <ScaleCrop>false</ScaleCrop>
  <LinksUpToDate>false</LinksUpToDate>
  <CharactersWithSpaces>334</CharactersWithSpaces>
  <Application>WPS Office_12.1.0.28599_F1E327BC-269C-435d-A152-05C5408002CA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2026-09-10T07:24:00Z</dcterms:created>
  <dc:creator>MyooE</dc:creator>
  <cp:lastModifiedBy>ph不是酸碱值</cp:lastModifiedBy>
  <dcterms:modified xsi:type="dcterms:W3CDTF">2026-09-11T06:11:21Z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2052-12.1.0.28599</vt:lpwstr>
  </property>
  <property fmtid="{D5CDD505-2E9C-101B-9397-08002B2CF9AE}" pid="3" name="KSOTemplateDocerSaveRecord">
    <vt:lpwstr>eyJoZGlkIjoiZWFkNzg3MmE3YjQxZTJhYmEzYjlkNjliOWVkN2NlMDkiLCJ1c2VySWQiOiIzNzAxOTc1MzgifQ==</vt:lpwstr>
  </property>
  <property fmtid="{D5CDD505-2E9C-101B-9397-08002B2CF9AE}" pid="4" name="ICV">
    <vt:lpwstr>DC4CBC8361C6497D85D48EB403B1E64D_12</vt:lpwstr>
  </property>
</Properties>
</file>