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Theme="maj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Stevia Powder</w:t>
      </w:r>
    </w:p>
    <w:p>
      <w:pPr>
        <w:pStyle w:val="2"/>
        <w:rPr>
          <w:sz w:val="24"/>
        </w:rPr>
      </w:pPr>
      <w:r>
        <w:rPr>
          <w:rFonts w:hint="eastAsia"/>
          <w:sz w:val="24"/>
        </w:rPr>
        <w:t>1.优势</w:t>
      </w:r>
      <w:r>
        <w:rPr>
          <w:sz w:val="24"/>
        </w:rPr>
        <w:t>Advantages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1.Low calori,natural and healthy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2.Different mesh size and different active ingredient Stevia RA,RB,RC,RD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3.Less cost on using stevia,just 30-40% comparing with sucrose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4.Good solubility in water</w:t>
      </w: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default"/>
          <w:lang w:val="en-US"/>
        </w:rPr>
      </w:pPr>
      <w:r>
        <w:rPr>
          <w:rFonts w:hint="eastAsia"/>
          <w:sz w:val="24"/>
        </w:rPr>
        <w:t>产品参数  COA</w:t>
      </w:r>
      <w:r>
        <w:rPr>
          <w:rFonts w:hint="eastAsia"/>
          <w:sz w:val="24"/>
          <w:lang w:val="en-US" w:eastAsia="zh-CN"/>
        </w:rPr>
        <w:t xml:space="preserve">    Stevia Powder RA 98%</w:t>
      </w:r>
    </w:p>
    <w:tbl>
      <w:tblPr>
        <w:tblStyle w:val="6"/>
        <w:tblW w:w="67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34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Item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Specification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Appearance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white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Oder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Characteristic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 Glucoside Content/%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≥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Rebaudioside A /%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≥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rFonts w:eastAsia="宋体"/>
                <w:sz w:val="22"/>
                <w:szCs w:val="22"/>
                <w:lang w:val="en-US" w:eastAsia="zh-CN" w:bidi="ar"/>
              </w:rPr>
              <w:t>Stevioside/%</w:t>
            </w:r>
            <w:r>
              <w:rPr>
                <w:rStyle w:val="18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----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Rebaudioside C /%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----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Sweetness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≥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Specific Rotation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-30°~ -38°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Absorbency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≤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4.5-7.0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Burned residue/%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≤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Loss on Drying/%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≤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Lead(Pb)/(mg/kg)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≤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Arsenic/(mg/kg)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≤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methanol/(mg/kg)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≤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 xml:space="preserve"> 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ethanol/(mg/kg)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≤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 xml:space="preserve"> 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Microbiological Analysis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TABC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＜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1000cfu/g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Yeast/Mold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sz w:val="22"/>
                <w:szCs w:val="22"/>
                <w:lang w:val="en-US" w:eastAsia="zh-CN" w:bidi="ar"/>
              </w:rPr>
              <w:t>＜</w:t>
            </w:r>
            <w:r>
              <w:rPr>
                <w:rStyle w:val="16"/>
                <w:rFonts w:eastAsia="宋体"/>
                <w:sz w:val="22"/>
                <w:szCs w:val="22"/>
                <w:lang w:val="en-US" w:eastAsia="zh-CN" w:bidi="ar"/>
              </w:rPr>
              <w:t>100 cfu/g</w:t>
            </w:r>
          </w:p>
        </w:tc>
      </w:tr>
    </w:tbl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其他规格</w:t>
      </w: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Other Spec.:</w:t>
      </w:r>
    </w:p>
    <w:p>
      <w:pPr>
        <w:spacing w:line="360" w:lineRule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Stevia RA9</w:t>
      </w:r>
      <w:r>
        <w:rPr>
          <w:rFonts w:hint="eastAsia"/>
          <w:b w:val="0"/>
          <w:bCs/>
          <w:sz w:val="24"/>
          <w:lang w:val="en-US" w:eastAsia="zh-CN"/>
        </w:rPr>
        <w:t>0</w:t>
      </w:r>
      <w:r>
        <w:rPr>
          <w:rFonts w:hint="default"/>
          <w:b w:val="0"/>
          <w:bCs/>
          <w:sz w:val="24"/>
          <w:lang w:val="en-US" w:eastAsia="zh-CN"/>
        </w:rPr>
        <w:t>%</w:t>
      </w:r>
      <w:r>
        <w:rPr>
          <w:rFonts w:hint="eastAsia"/>
          <w:b w:val="0"/>
          <w:bCs/>
          <w:sz w:val="24"/>
          <w:lang w:val="en-US" w:eastAsia="zh-CN"/>
        </w:rPr>
        <w:t>,RA95%,RA98%,RA99%</w:t>
      </w:r>
    </w:p>
    <w:p>
      <w:pPr>
        <w:spacing w:line="360" w:lineRule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SG 95% RA40% ,RA50%,RA60%,RA80%,RA90%</w:t>
      </w: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SG 90% RA40%,RA50%,RA60%</w:t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STV 90%%,98%</w:t>
      </w:r>
    </w:p>
    <w:p>
      <w:pPr>
        <w:spacing w:line="360" w:lineRule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RD 95%-98%</w:t>
      </w:r>
    </w:p>
    <w:p>
      <w:pPr>
        <w:pStyle w:val="2"/>
        <w:rPr>
          <w:sz w:val="28"/>
        </w:rPr>
      </w:pPr>
      <w:r>
        <w:rPr>
          <w:rFonts w:hint="eastAsia"/>
          <w:sz w:val="28"/>
        </w:rPr>
        <w:t>3.产品细节Detail</w:t>
      </w:r>
    </w:p>
    <w:p>
      <w:pPr>
        <w:spacing w:line="360" w:lineRule="auto"/>
        <w:rPr>
          <w:sz w:val="24"/>
        </w:rPr>
      </w:pPr>
      <w:r>
        <w:rPr>
          <w:sz w:val="24"/>
        </w:rPr>
        <w:t>CAS No.:</w:t>
      </w:r>
      <w:r>
        <w:rPr>
          <w:rFonts w:hint="eastAsia"/>
          <w:sz w:val="24"/>
        </w:rPr>
        <w:t>57817-89-7</w:t>
      </w:r>
    </w:p>
    <w:p>
      <w:pPr>
        <w:spacing w:line="360" w:lineRule="auto"/>
        <w:rPr>
          <w:sz w:val="24"/>
        </w:rPr>
      </w:pPr>
      <w:r>
        <w:rPr>
          <w:sz w:val="24"/>
        </w:rPr>
        <w:t>Place of Origin: China (Mainland)</w:t>
      </w:r>
    </w:p>
    <w:p>
      <w:pPr>
        <w:spacing w:line="360" w:lineRule="auto"/>
        <w:rPr>
          <w:sz w:val="24"/>
        </w:rPr>
      </w:pPr>
      <w:r>
        <w:rPr>
          <w:sz w:val="24"/>
        </w:rPr>
        <w:t>Type:Sweeteners</w:t>
      </w:r>
    </w:p>
    <w:p>
      <w:pPr>
        <w:spacing w:line="360" w:lineRule="auto"/>
        <w:rPr>
          <w:sz w:val="24"/>
        </w:rPr>
      </w:pPr>
      <w:r>
        <w:rPr>
          <w:sz w:val="24"/>
        </w:rPr>
        <w:t>Brand Name:TNN</w:t>
      </w:r>
    </w:p>
    <w:p>
      <w:pPr>
        <w:spacing w:line="360" w:lineRule="auto"/>
        <w:rPr>
          <w:sz w:val="24"/>
        </w:rPr>
      </w:pPr>
      <w:r>
        <w:rPr>
          <w:sz w:val="24"/>
        </w:rPr>
        <w:t>Purity: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Stevia RA9</w:t>
      </w:r>
      <w:r>
        <w:rPr>
          <w:rFonts w:hint="eastAsia"/>
          <w:b w:val="0"/>
          <w:bCs/>
          <w:sz w:val="24"/>
          <w:lang w:val="en-US" w:eastAsia="zh-CN"/>
        </w:rPr>
        <w:t>0</w:t>
      </w:r>
      <w:r>
        <w:rPr>
          <w:rFonts w:hint="default"/>
          <w:b w:val="0"/>
          <w:bCs/>
          <w:sz w:val="24"/>
          <w:lang w:val="en-US" w:eastAsia="zh-CN"/>
        </w:rPr>
        <w:t>%</w:t>
      </w:r>
      <w:r>
        <w:rPr>
          <w:rFonts w:hint="eastAsia"/>
          <w:b w:val="0"/>
          <w:bCs/>
          <w:sz w:val="24"/>
          <w:lang w:val="en-US" w:eastAsia="zh-CN"/>
        </w:rPr>
        <w:t>,RA95%,RA98%,RA99%</w:t>
      </w:r>
    </w:p>
    <w:p>
      <w:pPr>
        <w:spacing w:line="360" w:lineRule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SG 95% RA40% ,RA50%,RA60%,RA80%,RA90%</w:t>
      </w:r>
    </w:p>
    <w:p>
      <w:p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SG 90% RA40%,RA50%,RA60%</w:t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STV 90%%,98%</w:t>
      </w:r>
    </w:p>
    <w:p>
      <w:pPr>
        <w:spacing w:line="360" w:lineRule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RD 95%-98%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Appearance:White crystals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pStyle w:val="2"/>
        <w:rPr>
          <w:sz w:val="36"/>
        </w:rPr>
      </w:pPr>
      <w:r>
        <w:rPr>
          <w:rFonts w:hint="eastAsia"/>
          <w:sz w:val="28"/>
        </w:rPr>
        <w:t xml:space="preserve">4．产品包装 </w:t>
      </w:r>
      <w:r>
        <w:rPr>
          <w:sz w:val="36"/>
        </w:rPr>
        <w:t>Packing &amp; Delivery</w:t>
      </w:r>
    </w:p>
    <w:p>
      <w:r>
        <w:t>2</w:t>
      </w:r>
      <w:r>
        <w:rPr>
          <w:rFonts w:hint="eastAsia"/>
          <w:lang w:val="en-US" w:eastAsia="zh-CN"/>
        </w:rPr>
        <w:t>0</w:t>
      </w:r>
      <w:r>
        <w:t>kg/carton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IMG_20180203_11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80203_1117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</w:t>
      </w:r>
    </w:p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pStyle w:val="2"/>
        <w:rPr>
          <w:sz w:val="28"/>
        </w:rPr>
      </w:pPr>
      <w:r>
        <w:rPr>
          <w:rFonts w:hint="eastAsia"/>
          <w:sz w:val="28"/>
        </w:rPr>
        <w:t xml:space="preserve">5.产品应用 </w:t>
      </w:r>
      <w:r>
        <w:rPr>
          <w:sz w:val="28"/>
        </w:rPr>
        <w:t>Application</w:t>
      </w:r>
    </w:p>
    <w:p>
      <w:r>
        <w:rPr>
          <w:rFonts w:hint="eastAsia"/>
        </w:rPr>
        <w:t xml:space="preserve">It is a natural low-calorie sweetener. The caloric value of stevioside is only 1/300 of that of sucrose. It is not absorbed after ingestion into the human body and does not produce heat. It is a sweetener suitable for patients with diabetes and obesity. When stevioside is mixed with sucrose fructose or </w:t>
      </w:r>
      <w:r>
        <w:rPr>
          <w:rFonts w:hint="eastAsia"/>
          <w:lang w:val="en-US" w:eastAsia="zh-CN"/>
        </w:rPr>
        <w:t>other</w:t>
      </w:r>
      <w:r>
        <w:rPr>
          <w:rFonts w:hint="eastAsia"/>
        </w:rPr>
        <w:t xml:space="preserve"> sugar, it can increase its sweetness and taste. </w:t>
      </w:r>
      <w:r>
        <w:rPr>
          <w:rFonts w:hint="eastAsia"/>
          <w:lang w:val="en-US" w:eastAsia="zh-CN"/>
        </w:rPr>
        <w:t>U</w:t>
      </w:r>
      <w:r>
        <w:rPr>
          <w:rFonts w:hint="eastAsia"/>
        </w:rPr>
        <w:t>sed in confectionery, cakes, beverages, solid beverages, fried snacks, seasonings, preserves. Appropriate use according to production needs</w:t>
      </w:r>
    </w:p>
    <w:sectPr>
      <w:pgSz w:w="11906" w:h="16838"/>
      <w:pgMar w:top="1361" w:right="1797" w:bottom="1418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EE96"/>
    <w:multiLevelType w:val="singleLevel"/>
    <w:tmpl w:val="0F24EE9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1FFF"/>
    <w:rsid w:val="00072A98"/>
    <w:rsid w:val="0014306B"/>
    <w:rsid w:val="001559B5"/>
    <w:rsid w:val="001A18AB"/>
    <w:rsid w:val="002A13AD"/>
    <w:rsid w:val="003C66F0"/>
    <w:rsid w:val="003F6FF2"/>
    <w:rsid w:val="004B0CDB"/>
    <w:rsid w:val="005612C9"/>
    <w:rsid w:val="005807C7"/>
    <w:rsid w:val="0059462D"/>
    <w:rsid w:val="00727E37"/>
    <w:rsid w:val="00822AF4"/>
    <w:rsid w:val="008E1325"/>
    <w:rsid w:val="009C64F8"/>
    <w:rsid w:val="00A41254"/>
    <w:rsid w:val="00B46FD5"/>
    <w:rsid w:val="00BC4D16"/>
    <w:rsid w:val="00BD1E93"/>
    <w:rsid w:val="00CB15FF"/>
    <w:rsid w:val="00D512AC"/>
    <w:rsid w:val="00E829CE"/>
    <w:rsid w:val="00EA15FD"/>
    <w:rsid w:val="00F47857"/>
    <w:rsid w:val="00FD3730"/>
    <w:rsid w:val="00FF1FFF"/>
    <w:rsid w:val="0AF76ECC"/>
    <w:rsid w:val="10B53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11"/>
    <w:basedOn w:val="8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31"/>
    <w:basedOn w:val="8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21"/>
    <w:basedOn w:val="8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8">
    <w:name w:val="font01"/>
    <w:basedOn w:val="8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188</Words>
  <Characters>1078</Characters>
  <Lines>8</Lines>
  <Paragraphs>2</Paragraphs>
  <TotalTime>5</TotalTime>
  <ScaleCrop>false</ScaleCrop>
  <LinksUpToDate>false</LinksUpToDate>
  <CharactersWithSpaces>1264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2019-05-08T02:53:00Z</dcterms:created>
  <dc:creator>PC</dc:creator>
  <cp:lastModifiedBy>Administrator</cp:lastModifiedBy>
  <dcterms:modified xsi:type="dcterms:W3CDTF">2019-05-22T07:50:10Z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