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Product name: Uncoiler Straightener 2 in 1 Machine, Model: GO-B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1. Наименование продукта: Машина с разматывателем и выпрямителем 2 в 1, Модель: </w:t>
      </w:r>
      <w:r>
        <w:rPr>
          <w:rFonts w:ascii="Calibri" w:hAnsi="Calibri"/>
          <w:b/>
          <w:bCs/>
          <w:color w:val="0070C0"/>
          <w:sz w:val="24"/>
          <w:szCs w:val="24"/>
        </w:rPr>
        <w:t>GO</w:t>
      </w:r>
    </w:p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Shenzhen Honger Machine Equipment Co., Ltd </w:t>
      </w:r>
      <w:r>
        <w:rPr>
          <w:rFonts w:ascii="Calibri" w:hAnsi="Calibri"/>
          <w:sz w:val="24"/>
          <w:szCs w:val="24"/>
          <w:highlight w:val="yellow"/>
        </w:rPr>
        <w:t>are</w:t>
      </w:r>
      <w:r>
        <w:rPr>
          <w:rFonts w:ascii="Calibri" w:hAnsi="Calibri"/>
          <w:sz w:val="24"/>
          <w:szCs w:val="24"/>
        </w:rPr>
        <w:t xml:space="preserve"> professional Uncoiler Straightener 2 in 1 Machine in China. We are the only own international advanced big CNC that include FPW &amp; VMC. The best quality best price Uncoiler Straightener 2 in 1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и выпрямителем 2 в 1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speed can reach 0-16m/min. And suitable all kinds of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разматывателем и выпрямителем 2 в 1 может достигать 0-16 м/мин. Подходит для выпрямления всех видов металлических катушек.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is suitable 0-1.5mm thickness all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подходит для выпрямления всех металлических катушек толщиной 0-1,5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widely used to computer, mobile phone, automobile industry, appliances manufacturing, medical apparatus and instruments, hardware &amp; Metal parts etc industry.</w:t>
      </w:r>
    </w:p>
    <w:p>
      <w:pPr>
        <w:pStyle w:val="4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ind w:left="420"/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3. 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2 machines together one.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Экономит территорию завода. 2 машины в одной.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0.1-1.5mm.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straightening, easy to operate.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автоматического выпрямления всех видов металлических катушек, проста в эксплуатации.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и выпрямления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 0-22m/min.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Высокая скорость: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 etc. for choosing.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 и др. на выбор.</w:t>
      </w:r>
    </w:p>
    <w:p>
      <w:pPr>
        <w:rPr>
          <w:rFonts w:ascii="Calibri" w:hAnsi="Calibri"/>
          <w:b/>
          <w:bCs/>
          <w:sz w:val="24"/>
          <w:szCs w:val="24"/>
        </w:rPr>
      </w:pP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tbl>
      <w:tblPr>
        <w:tblStyle w:val="3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745"/>
        <w:gridCol w:w="1745"/>
        <w:gridCol w:w="174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2E75B6" w:themeColor="accent1" w:themeShade="BF"/>
                <w:kern w:val="0"/>
                <w:sz w:val="24"/>
                <w:szCs w:val="24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9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Uncoiler and Straightener machine 2 in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  <w:lang w:val="ru-RU"/>
              </w:rPr>
              <w:t>Машина с разматывателем и выпрямителем 2 в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Модель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Unit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GO-200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GO-300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Материал ширина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материала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0.4-2.2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Coil inner diameter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Внутренний диаметр катушки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Coil outer diameter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Наружный диаметр катушки</w:t>
            </w:r>
          </w:p>
        </w:tc>
        <w:tc>
          <w:tcPr>
            <w:tcW w:w="174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 w:color="auto"/>
                <w:lang w:val="en-US" w:eastAsia="zh-CN" w:bidi="ar-SA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Material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вес материала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Expansion style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стиль расширения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Manual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2E75B6" w:themeColor="accent1" w:themeShade="BF"/>
                <w:kern w:val="0"/>
                <w:sz w:val="22"/>
                <w:szCs w:val="22"/>
                <w:u w:val="none"/>
                <w:lang w:val="en-US" w:eastAsia="zh-CN" w:bidi="ar-SA"/>
              </w:rPr>
              <w:t>Руководство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 xml:space="preserve">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Coil thickness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0.1-1.5mm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>Способ расширения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Manual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hydraulic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Ручной или гидравлический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47821813"/>
  </w:num>
  <w:num w:numId="2">
    <w:abstractNumId w:val="1447824696"/>
  </w:num>
  <w:num w:numId="3">
    <w:abstractNumId w:val="1447824730"/>
  </w:num>
  <w:num w:numId="4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C48D9"/>
    <w:rsid w:val="3C4C48D9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2016-03-21T06:02:00Z</dcterms:created>
  <dc:creator>Administrator</dc:creator>
  <cp:lastModifiedBy>Administrator</cp:lastModifiedBy>
  <dcterms:modified xsi:type="dcterms:W3CDTF">2016-03-21T06:32:21Z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