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1F497D"/>
          <w:lang w:val="fr-FR"/>
        </w:rPr>
      </w:pPr>
      <w:r>
        <w:rPr>
          <w:b/>
          <w:bCs/>
          <w:color w:val="1F497D"/>
          <w:lang w:val="fr-FR"/>
        </w:rPr>
        <w:t>Donnée technique:</w:t>
      </w:r>
    </w:p>
    <w:tbl>
      <w:tblPr>
        <w:tblStyle w:val="3"/>
        <w:tblW w:w="9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5"/>
        <w:gridCol w:w="2229"/>
        <w:gridCol w:w="2203"/>
        <w:gridCol w:w="2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246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ambria" w:hAnsi="Cambria" w:eastAsia="Cambria" w:cs="Cambria"/>
                <w:b/>
                <w:color w:val="1F497D"/>
                <w:kern w:val="0"/>
                <w:sz w:val="24"/>
                <w:szCs w:val="24"/>
              </w:rPr>
              <w:t>Nom</w:t>
            </w:r>
          </w:p>
        </w:tc>
        <w:tc>
          <w:tcPr>
            <w:tcW w:w="667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/>
                <w:color w:val="1F497D"/>
                <w:szCs w:val="21"/>
                <w:lang w:val="en-US" w:eastAsia="zh-CN"/>
              </w:rPr>
              <w:t>Groupe Double Precision Lisseur machine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2465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Modèle</w:t>
            </w:r>
          </w:p>
        </w:tc>
        <w:tc>
          <w:tcPr>
            <w:tcW w:w="2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STL-150</w:t>
            </w:r>
          </w:p>
        </w:tc>
        <w:tc>
          <w:tcPr>
            <w:tcW w:w="22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STL-200</w:t>
            </w:r>
          </w:p>
        </w:tc>
        <w:tc>
          <w:tcPr>
            <w:tcW w:w="2243" w:type="dxa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STL-300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24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Largeur max(mm)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150mm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200mm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24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Épaisseur(mm)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0.1-0.6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0.1-0.6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0.1-0.6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</w:trPr>
        <w:tc>
          <w:tcPr>
            <w:tcW w:w="24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Rouleau de redresseur</w:t>
            </w:r>
          </w:p>
        </w:tc>
        <w:tc>
          <w:tcPr>
            <w:tcW w:w="6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First group Φ20*6pcs  3/3 (up/down)</w:t>
            </w: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 w:type="textWrapping"/>
            </w: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  Second group  Φ20*19pcs 9/10 (up/down)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24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Vitesse</w:t>
            </w:r>
          </w:p>
        </w:tc>
        <w:tc>
          <w:tcPr>
            <w:tcW w:w="6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0-16m/min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24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Moteur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0.5HP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1HP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1HP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24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color w:val="1F497D"/>
                <w:kern w:val="0"/>
                <w:sz w:val="22"/>
                <w:szCs w:val="22"/>
                <w:lang w:val="en-US" w:eastAsia="zh-CN"/>
              </w:rPr>
              <w:t>Tension</w:t>
            </w:r>
          </w:p>
        </w:tc>
        <w:tc>
          <w:tcPr>
            <w:tcW w:w="6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AC220V/ AC415V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2465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color w:val="1F497D"/>
                <w:lang w:val="fr-FR"/>
              </w:rPr>
              <w:t>Machine</w:t>
            </w: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</w:t>
            </w: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Poids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180KG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200KG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180KG</w:t>
            </w:r>
          </w:p>
        </w:tc>
      </w:tr>
    </w:tbl>
    <w:p>
      <w:pPr>
        <w:rPr>
          <w:b/>
          <w:bCs/>
          <w:color w:val="1F497D"/>
          <w:lang w:val="fr-FR"/>
        </w:rPr>
      </w:pPr>
    </w:p>
    <w:p>
      <w:pPr>
        <w:rPr>
          <w:rFonts w:hint="eastAsia"/>
          <w:b/>
          <w:bCs/>
        </w:rPr>
      </w:pPr>
      <w:r>
        <w:rPr>
          <w:b/>
          <w:bCs/>
          <w:color w:val="1F497D"/>
        </w:rPr>
        <w:t>Exigence d’acheteur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1F497D"/>
                <w:szCs w:val="21"/>
              </w:rPr>
            </w:pPr>
            <w:r>
              <w:rPr>
                <w:rFonts w:eastAsia="Cambria"/>
                <w:color w:val="1F497D"/>
                <w:kern w:val="0"/>
                <w:szCs w:val="21"/>
              </w:rPr>
              <w:t>Emballage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000000"/>
                <w:sz w:val="22"/>
                <w:szCs w:val="22"/>
              </w:rPr>
            </w:pPr>
            <w:r>
              <w:rPr>
                <w:rFonts w:eastAsia="Cambria"/>
                <w:color w:val="1F497D"/>
                <w:szCs w:val="21"/>
                <w:lang w:val="fr-FR"/>
              </w:rPr>
              <w:t>Caisse en bois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1F497D"/>
                <w:szCs w:val="21"/>
                <w:lang w:val="fr-FR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Service après-vente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1F497D"/>
                <w:sz w:val="22"/>
                <w:szCs w:val="22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1 an</w:t>
            </w:r>
          </w:p>
        </w:tc>
      </w:tr>
      <w:tr>
        <w:tblPrEx>
          <w:tblLayout w:type="fixed"/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1F497D"/>
                <w:szCs w:val="21"/>
              </w:rPr>
            </w:pPr>
            <w:r>
              <w:rPr>
                <w:rFonts w:eastAsia="Cambria"/>
                <w:color w:val="1F497D"/>
                <w:kern w:val="0"/>
                <w:szCs w:val="21"/>
              </w:rPr>
              <w:t>Délai de livraison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Cambria" w:cs="Cambria"/>
                <w:color w:val="000000"/>
                <w:sz w:val="22"/>
                <w:szCs w:val="22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0-25 journées de travail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1F497D"/>
                <w:szCs w:val="21"/>
              </w:rPr>
            </w:pPr>
            <w:r>
              <w:rPr>
                <w:rFonts w:eastAsia="Cambria"/>
                <w:color w:val="1F497D"/>
                <w:szCs w:val="21"/>
              </w:rPr>
              <w:t>Manière d’expédition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000000"/>
                <w:sz w:val="22"/>
                <w:szCs w:val="22"/>
              </w:rPr>
            </w:pPr>
            <w:r>
              <w:rPr>
                <w:rFonts w:eastAsia="Cambria"/>
                <w:color w:val="1F497D"/>
                <w:szCs w:val="21"/>
                <w:lang w:val="fr-FR"/>
              </w:rPr>
              <w:t>Transport maritime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1F497D"/>
                <w:szCs w:val="21"/>
                <w:lang w:val="fr-FR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Mode de payement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000000"/>
                <w:sz w:val="22"/>
                <w:szCs w:val="22"/>
                <w:lang w:val="fr-FR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T/T  L/C  En Espèces ou autre</w:t>
            </w:r>
          </w:p>
        </w:tc>
      </w:tr>
    </w:tbl>
    <w:p>
      <w:pPr>
        <w:rPr>
          <w:b/>
          <w:bCs/>
          <w:color w:val="1F497D"/>
          <w:lang w:val="fr-FR"/>
        </w:rPr>
      </w:pPr>
    </w:p>
    <w:p>
      <w:pPr>
        <w:rPr>
          <w:b/>
          <w:bCs/>
          <w:color w:val="1F497D"/>
        </w:rPr>
      </w:pPr>
      <w:r>
        <w:rPr>
          <w:b/>
          <w:bCs/>
          <w:color w:val="1F497D"/>
        </w:rPr>
        <w:t>Attribut de produit</w:t>
      </w: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cs="Cambria"/>
                <w:color w:val="000000"/>
                <w:sz w:val="22"/>
                <w:szCs w:val="22"/>
                <w:lang w:val="fr-FR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Certificat CE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  <w:t>Obtenu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cs="Cambria"/>
                <w:color w:val="1F497D"/>
                <w:sz w:val="22"/>
                <w:szCs w:val="22"/>
                <w:lang w:val="fr-FR"/>
              </w:rPr>
            </w:pPr>
            <w:r>
              <w:rPr>
                <w:rFonts w:ascii="Cambria" w:hAnsi="Cambria" w:cs="Cambria"/>
                <w:color w:val="1F497D"/>
                <w:sz w:val="22"/>
                <w:szCs w:val="22"/>
                <w:lang w:val="fr-FR"/>
              </w:rPr>
              <w:t>Épaisseur de bobine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mbria" w:hAnsi="Cambria" w:eastAsia="Cambria" w:cs="Cambr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mbria" w:hAnsi="Cambria" w:eastAsia="Cambria" w:cs="Cambria"/>
                <w:color w:val="000000"/>
                <w:kern w:val="0"/>
                <w:sz w:val="22"/>
                <w:szCs w:val="22"/>
              </w:rPr>
              <w:t>0.1-0.6mm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cs="Cambria"/>
                <w:color w:val="1F497D"/>
                <w:sz w:val="22"/>
                <w:szCs w:val="22"/>
                <w:lang w:val="fr-FR"/>
              </w:rPr>
            </w:pPr>
            <w:r>
              <w:rPr>
                <w:rFonts w:ascii="Cambria" w:hAnsi="Cambria" w:cs="Cambria"/>
                <w:color w:val="1F497D"/>
                <w:sz w:val="22"/>
                <w:szCs w:val="22"/>
                <w:lang w:val="fr-FR"/>
              </w:rPr>
              <w:t>Stock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  <w:t>Non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cs="Cambria"/>
                <w:color w:val="000000"/>
                <w:sz w:val="22"/>
                <w:szCs w:val="22"/>
                <w:lang w:val="fr-FR"/>
              </w:rPr>
            </w:pPr>
            <w:r>
              <w:rPr>
                <w:color w:val="1F497D"/>
                <w:kern w:val="0"/>
                <w:szCs w:val="21"/>
                <w:lang w:bidi="ar"/>
              </w:rPr>
              <w:t>Grand client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</w:pPr>
            <w:r>
              <w:rPr>
                <w:rFonts w:hint="eastAsia" w:ascii="Cambria" w:hAnsi="Cambria" w:eastAsia="Cambria" w:cs="Cambria"/>
                <w:color w:val="1F497D"/>
                <w:kern w:val="0"/>
                <w:sz w:val="22"/>
                <w:szCs w:val="22"/>
              </w:rPr>
              <w:t>Media, Haier, AUDI,</w:t>
            </w: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hint="eastAsia" w:ascii="Cambria" w:hAnsi="Cambria" w:eastAsia="Cambria" w:cs="Cambria"/>
                <w:color w:val="1F497D"/>
                <w:kern w:val="0"/>
                <w:sz w:val="22"/>
                <w:szCs w:val="22"/>
              </w:rPr>
              <w:t>DONGFENG etc.</w:t>
            </w:r>
          </w:p>
        </w:tc>
      </w:tr>
    </w:tbl>
    <w:p>
      <w:pPr>
        <w:rPr>
          <w:rFonts w:hint="eastAsia" w:eastAsiaTheme="minorEastAsia"/>
          <w:b/>
          <w:bCs/>
          <w:color w:val="1F497D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3A21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2016-05-10T08:41:34Z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