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1F497D"/>
          <w:lang w:val="fr-FR"/>
        </w:rPr>
      </w:pPr>
      <w:r>
        <w:rPr>
          <w:b/>
          <w:bCs/>
          <w:color w:val="1F497D"/>
          <w:lang w:val="fr-FR"/>
        </w:rPr>
        <w:t>Donnée technique:</w:t>
      </w:r>
    </w:p>
    <w:tbl>
      <w:tblPr>
        <w:tblStyle w:val="3"/>
        <w:tblW w:w="8900" w:type="dxa"/>
        <w:tblInd w:w="-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1849"/>
        <w:gridCol w:w="1223"/>
        <w:gridCol w:w="1224"/>
        <w:gridCol w:w="1068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b/>
                <w:color w:val="1F497D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b/>
                <w:color w:val="1F497D"/>
                <w:kern w:val="0"/>
                <w:szCs w:val="21"/>
              </w:rPr>
              <w:t>Nom</w:t>
            </w:r>
          </w:p>
        </w:tc>
        <w:tc>
          <w:tcPr>
            <w:tcW w:w="698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b/>
                <w:color w:val="1F497D"/>
                <w:szCs w:val="21"/>
              </w:rPr>
              <w:t>Machine de Servo chargeur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Modèle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RNC-100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RNC-200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RNC-300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RNC-400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RNC-500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Largeur de bobine max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100mm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200mm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300mm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400mm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Épaisseur de bobine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0-9999.99mm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Hauteur de moul bas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0.1-1.6mm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Vitesse d’alimentation</w:t>
            </w:r>
          </w:p>
        </w:tc>
        <w:tc>
          <w:tcPr>
            <w:tcW w:w="4296" w:type="dxa"/>
            <w:gridSpan w:val="3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70-180mm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100-220mm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  <w:lang w:val="fr-FR"/>
              </w:rPr>
              <w:t>Capacité d’alimentation (W x T)  (mm)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16m/min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Moyen de sortie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Mécanique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Servo moteur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YASKAWA du Japon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color w:val="1F497D"/>
                <w:szCs w:val="21"/>
                <w:lang w:val="fr-FR"/>
              </w:rPr>
              <w:t>API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Delta de Taiwan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Interface homme-machine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</w:rPr>
              <w:t>WEINVIEW de Taiwan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Moyen de contrôle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Cs w:val="21"/>
                <w:lang w:val="fr-FR"/>
              </w:rPr>
              <w:t>Cabinet de contrôle électrique et boîte de commutation manuelle</w:t>
            </w:r>
          </w:p>
        </w:tc>
      </w:tr>
    </w:tbl>
    <w:p>
      <w:pPr>
        <w:rPr>
          <w:b/>
          <w:bCs/>
          <w:color w:val="1F497D"/>
          <w:lang w:val="fr-FR"/>
        </w:rPr>
      </w:pPr>
    </w:p>
    <w:p>
      <w:pPr>
        <w:rPr>
          <w:b/>
          <w:bCs/>
          <w:color w:val="1F497D"/>
        </w:rPr>
      </w:pPr>
      <w:r>
        <w:rPr>
          <w:b/>
          <w:bCs/>
          <w:color w:val="1F497D"/>
        </w:rPr>
        <w:t>Exigence d’acheteur</w:t>
      </w:r>
    </w:p>
    <w:tbl>
      <w:tblPr>
        <w:tblStyle w:val="3"/>
        <w:tblW w:w="8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Emballage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szCs w:val="21"/>
                <w:lang w:val="fr-FR"/>
              </w:rPr>
              <w:t>Caisse en bois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Service après-vente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</w:rPr>
              <w:t>1 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Délai de livraison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  <w:lang w:val="fr-FR"/>
              </w:rPr>
              <w:t xml:space="preserve">1-15 </w:t>
            </w: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journées de travail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szCs w:val="21"/>
              </w:rPr>
              <w:t>Manière d’expédition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szCs w:val="21"/>
              </w:rPr>
              <w:t>Transport maritime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Mode de payement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T/T  L/C  En Espèces ou autre</w:t>
            </w:r>
          </w:p>
        </w:tc>
      </w:tr>
    </w:tbl>
    <w:p>
      <w:pPr>
        <w:rPr>
          <w:b/>
          <w:bCs/>
          <w:color w:val="1F497D"/>
          <w:lang w:val="fr-FR"/>
        </w:rPr>
      </w:pPr>
    </w:p>
    <w:p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 Attribut de produit</w:t>
      </w:r>
    </w:p>
    <w:tbl>
      <w:tblPr>
        <w:tblStyle w:val="3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</w:rPr>
              <w:t>Moteur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</w:rPr>
              <w:t>YASKWA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API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</w:rPr>
              <w:t>Mitsubishi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Interface homme-machine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</w:rPr>
              <w:t>Weinview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Actionneur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</w:rPr>
              <w:t>YASKAWA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Certificat CE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</w:rPr>
              <w:t>Obtenu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Moyen d’alimentation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</w:rPr>
              <w:t>Automatique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Moyen de contrôle d’alimentation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Servo moteur avec API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Palier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</w:rPr>
              <w:t>Japon NSK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Cylindre d’air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</w:rPr>
              <w:t>Japon CKD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Grand client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eastAsia="Cambria"/>
                <w:color w:val="1F497D"/>
                <w:kern w:val="0"/>
                <w:sz w:val="22"/>
                <w:szCs w:val="22"/>
              </w:rPr>
              <w:t>Media, Haier, AUDI, DONGFENG etc.</w:t>
            </w:r>
          </w:p>
        </w:tc>
      </w:tr>
    </w:tbl>
    <w:p>
      <w:pPr>
        <w:rPr>
          <w:b/>
          <w:bCs/>
          <w:color w:val="1F497D"/>
          <w:lang w:val="fr-F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80A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2016-05-10T08:44:35Z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