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1F497D"/>
          <w:szCs w:val="21"/>
        </w:rPr>
      </w:pPr>
      <w:r>
        <w:rPr>
          <w:color w:val="1F497D"/>
          <w:szCs w:val="21"/>
        </w:rPr>
        <w:t>Donnée technique:</w:t>
      </w:r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4"/>
        <w:gridCol w:w="1939"/>
        <w:gridCol w:w="1385"/>
        <w:gridCol w:w="138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6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Nom</w:t>
            </w:r>
          </w:p>
        </w:tc>
        <w:tc>
          <w:tcPr>
            <w:tcW w:w="683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szCs w:val="21"/>
                <w:lang w:val="fr-FR"/>
              </w:rPr>
              <w:t>Machine de Dérouleur Redresseur Chargeur 3 en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Modèle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GLK3-400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GLK3-600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GLK3-800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GLK3-1000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Cs w:val="21"/>
                <w:lang w:val="fr-FR"/>
              </w:rPr>
              <w:t>Résistance des matériaux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b≤392Mpa   σs≤245MPa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Largeur des métériaux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70-400mm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70-600mm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70-800mm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70-1000mm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Épaisseur applicable des matériaux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0.5-4.5mm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Longueur d’alimentation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0-9999.99mm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Cs w:val="21"/>
                <w:lang w:val="fr-FR"/>
              </w:rPr>
              <w:t>Diamètre bobine intérieur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Φ508mm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Cs w:val="21"/>
                <w:lang w:val="fr-FR"/>
              </w:rPr>
              <w:t>Diamètre bobine extérieur max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Poids de bobine max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3000KG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3000KG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5000KG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Vitesse d’alimentation max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22m/min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Style d’expansion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Expansion hydraulique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Façon de pressage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Avec bras de presseur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Rouleau de redresseur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mbria" w:hAnsi="Cambria" w:eastAsia="宋体" w:cs="Cambria"/>
                <w:color w:val="1F497D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 xml:space="preserve">Pièces , haut </w:t>
            </w:r>
            <w:r>
              <w:rPr>
                <w:rFonts w:hint="eastAsia" w:ascii="Cambria" w:hAnsi="Cambria" w:eastAsia="宋体" w:cs="Cambria"/>
                <w:color w:val="1F497D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 xml:space="preserve">/bas </w:t>
            </w:r>
            <w:r>
              <w:rPr>
                <w:rFonts w:hint="eastAsia" w:ascii="Cambria" w:hAnsi="Cambria" w:eastAsia="宋体" w:cs="Cambria"/>
                <w:color w:val="1F497D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,</w:t>
            </w: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Φ</w:t>
            </w:r>
            <w:r>
              <w:rPr>
                <w:rFonts w:hint="eastAsia" w:ascii="Cambria" w:hAnsi="Cambria" w:eastAsia="宋体" w:cs="Cambria"/>
                <w:color w:val="1F497D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Puissance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AC380V±10%</w:t>
            </w:r>
            <w:r>
              <w:rPr>
                <w:rFonts w:hint="eastAsia" w:ascii="宋体" w:hAnsi="宋体" w:cs="宋体"/>
                <w:color w:val="1F497D"/>
                <w:kern w:val="0"/>
                <w:szCs w:val="21"/>
                <w:lang w:val="fr-FR"/>
              </w:rPr>
              <w:t>，</w:t>
            </w: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50HZ ±2% , (peut être changé selon votre condition)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Pression pneumatique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0.5Mpa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Sens de la marche</w:t>
            </w:r>
          </w:p>
        </w:tc>
        <w:tc>
          <w:tcPr>
            <w:tcW w:w="6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De gauche à droite</w:t>
            </w:r>
          </w:p>
        </w:tc>
      </w:tr>
    </w:tbl>
    <w:p>
      <w:pPr/>
    </w:p>
    <w:p>
      <w:pPr>
        <w:rPr>
          <w:rFonts w:hint="eastAsia"/>
          <w:b/>
          <w:bCs/>
          <w:lang w:val="en-US" w:eastAsia="zh-CN"/>
        </w:rPr>
      </w:pPr>
      <w:r>
        <w:rPr>
          <w:color w:val="1F497D"/>
          <w:szCs w:val="21"/>
        </w:rPr>
        <w:t>Exigence d’acheteur</w:t>
      </w:r>
      <w:r>
        <w:rPr>
          <w:rFonts w:hint="eastAsia"/>
          <w:b/>
          <w:bCs/>
          <w:lang w:val="en-US" w:eastAsia="zh-CN"/>
        </w:rPr>
        <w:t>:</w:t>
      </w:r>
    </w:p>
    <w:tbl>
      <w:tblPr>
        <w:tblStyle w:val="3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Emballage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Caisse en bois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Service après-vente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1 ans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Délai de livraison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30-45 journées de travail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Manière d’expédition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</w:rPr>
              <w:t>Transport maritime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Mode de payement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T/T  L/C  En Espèces ou autre</w:t>
            </w:r>
          </w:p>
        </w:tc>
      </w:tr>
    </w:tbl>
    <w:p>
      <w:pPr/>
    </w:p>
    <w:p>
      <w:pPr>
        <w:rPr>
          <w:rFonts w:hint="eastAsia"/>
          <w:b/>
          <w:bCs/>
          <w:lang w:val="en-US" w:eastAsia="zh-CN"/>
        </w:rPr>
      </w:pPr>
      <w:r>
        <w:rPr>
          <w:color w:val="1F497D"/>
          <w:szCs w:val="21"/>
          <w:lang w:val="fr-FR"/>
        </w:rPr>
        <w:t>Marque des pièces de machine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Moteur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YASKWA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宋体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API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color w:val="1F497D"/>
                <w:szCs w:val="21"/>
              </w:rPr>
              <w:t>Mitsubishi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1F497D"/>
                <w:kern w:val="0"/>
                <w:szCs w:val="21"/>
                <w:lang w:bidi="ar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Interface homme-machine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color w:val="1F497D"/>
                <w:kern w:val="0"/>
                <w:szCs w:val="21"/>
                <w:lang w:val="en-US" w:eastAsia="zh-CN" w:bidi="ar"/>
              </w:rPr>
              <w:t>Weinview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宋体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Actionneur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YASKWA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Certificat CE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Obtenu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Moyen d’alimentation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Automatique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val="fr-FR" w:bidi="ar"/>
              </w:rPr>
              <w:t>Moyen de chargement de bobine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szCs w:val="21"/>
                <w:lang w:val="fr-FR"/>
              </w:rPr>
              <w:t>Voiture de bobine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Moyen d’expansion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Hydraulique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Moyen de contrôle d’alimentation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Servo moteur avec API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Palier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Japon NSK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Cylindre d’air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Japon CKD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Grand client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Media, Haier, AUDI,DONGFENG etc.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31C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2016-05-10T08:39:12Z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