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dobe Caslon Pro" w:hAnsi="Adobe Caslon Pro" w:eastAsia="MingLiU_HKSCS-ExtB" w:cs="Adobe Caslon Pro"/>
          <w:b/>
          <w:bCs/>
          <w:sz w:val="48"/>
          <w:szCs w:val="56"/>
        </w:rPr>
      </w:pPr>
      <w:r>
        <w:rPr>
          <w:rFonts w:hint="eastAsia" w:ascii="MingLiU_HKSCS-ExtB" w:hAnsi="MingLiU_HKSCS-ExtB" w:eastAsia="MingLiU_HKSCS-ExtB" w:cs="MingLiU_HKSCS-ExtB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-902970</wp:posOffset>
            </wp:positionV>
            <wp:extent cx="7552690" cy="10691495"/>
            <wp:effectExtent l="0" t="0" r="10160" b="14605"/>
            <wp:wrapNone/>
            <wp:docPr id="2" name="图片 2" descr="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dobe Caslon Pro" w:hAnsi="Adobe Caslon Pro" w:eastAsia="MingLiU_HKSCS-ExtB" w:cs="Adobe Caslon Pro"/>
          <w:b/>
          <w:bCs/>
          <w:sz w:val="48"/>
          <w:szCs w:val="56"/>
        </w:rPr>
        <w:t>Standard Warranty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dobe Caslon Pro" w:hAnsi="Adobe Caslon Pro" w:eastAsia="MingLiU_HKSCS-ExtB" w:cs="Adobe Caslon Pro"/>
          <w:b/>
          <w:bCs/>
          <w:sz w:val="24"/>
          <w:szCs w:val="24"/>
        </w:rPr>
      </w:pPr>
      <w:r>
        <w:rPr>
          <w:rFonts w:hint="default" w:ascii="Adobe Caslon Pro" w:hAnsi="Adobe Caslon Pro" w:eastAsia="MingLiU_HKSCS-ExtB" w:cs="Adobe Caslon Pro"/>
          <w:b/>
          <w:bCs/>
          <w:sz w:val="24"/>
          <w:szCs w:val="24"/>
        </w:rPr>
        <w:t>Terms of Sale: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sz w:val="24"/>
          <w:szCs w:val="24"/>
        </w:rPr>
      </w:pPr>
      <w:r>
        <w:rPr>
          <w:rFonts w:hint="eastAsia" w:ascii="MingLiU_HKSCS-ExtB" w:hAnsi="MingLiU_HKSCS-ExtB" w:eastAsia="MingLiU_HKSCS-ExtB" w:cs="MingLiU_HKSCS-ExtB"/>
          <w:sz w:val="24"/>
          <w:szCs w:val="24"/>
        </w:rPr>
        <w:t>All customers purchasing an TOPWELL Product agree to the following terms, statements and</w:t>
      </w:r>
      <w:r>
        <w:rPr>
          <w:rFonts w:hint="eastAsia" w:ascii="MingLiU_HKSCS-ExtB" w:hAnsi="MingLiU_HKSCS-ExtB" w:eastAsia="MingLiU_HKSCS-ExtB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conditions set forth below:</w:t>
      </w:r>
    </w:p>
    <w:p>
      <w:pPr>
        <w:rPr>
          <w:rFonts w:hint="default" w:ascii="Adobe Caslon Pro" w:hAnsi="Adobe Caslon Pro" w:eastAsia="MingLiU_HKSCS-ExtB" w:cs="Adobe Caslon Pro"/>
          <w:sz w:val="24"/>
          <w:szCs w:val="24"/>
        </w:rPr>
      </w:pPr>
      <w:r>
        <w:rPr>
          <w:rFonts w:hint="default" w:ascii="Adobe Caslon Pro" w:hAnsi="Adobe Caslon Pro" w:eastAsia="MingLiU_HKSCS-ExtB" w:cs="Adobe Caslon Pro"/>
          <w:sz w:val="24"/>
          <w:szCs w:val="24"/>
        </w:rPr>
        <w:t>Please note specifications are subject to change without notice.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dobe Caslon Pro" w:hAnsi="Adobe Caslon Pro" w:eastAsia="MingLiU_HKSCS-ExtB" w:cs="Adobe Caslon Pro"/>
          <w:b/>
          <w:bCs/>
          <w:sz w:val="24"/>
          <w:szCs w:val="24"/>
        </w:rPr>
      </w:pPr>
      <w:r>
        <w:rPr>
          <w:rFonts w:hint="default" w:ascii="Adobe Caslon Pro" w:hAnsi="Adobe Caslon Pro" w:eastAsia="MingLiU_HKSCS-ExtB" w:cs="Adobe Caslon Pro"/>
          <w:b/>
          <w:bCs/>
          <w:sz w:val="24"/>
          <w:szCs w:val="24"/>
        </w:rPr>
        <w:t>IGBT Inverter Unit Warranty:</w:t>
      </w:r>
    </w:p>
    <w:p>
      <w:pPr>
        <w:jc w:val="center"/>
      </w:pPr>
      <w:r>
        <w:drawing>
          <wp:inline distT="0" distB="0" distL="114300" distR="114300">
            <wp:extent cx="1351280" cy="1315085"/>
            <wp:effectExtent l="0" t="0" r="127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sz w:val="24"/>
          <w:szCs w:val="24"/>
        </w:rPr>
      </w:pPr>
      <w:r>
        <w:rPr>
          <w:rFonts w:hint="eastAsia" w:ascii="MingLiU_HKSCS-ExtB" w:hAnsi="MingLiU_HKSCS-ExtB" w:eastAsia="MingLiU_HKSCS-ExtB" w:cs="MingLiU_HKSCS-ExtB"/>
          <w:sz w:val="24"/>
          <w:szCs w:val="24"/>
        </w:rPr>
        <w:t>All new TOPWELL IGBT based inverter units (welders, plasma cutters and</w:t>
      </w:r>
      <w:r>
        <w:rPr>
          <w:rFonts w:hint="eastAsia" w:ascii="MingLiU_HKSCS-ExtB" w:hAnsi="MingLiU_HKSCS-ExtB" w:eastAsia="MingLiU_HKSCS-ExtB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multi-process units)shall be warrantied to the original owner against breakage,</w:t>
      </w:r>
      <w:r>
        <w:rPr>
          <w:rFonts w:hint="eastAsia" w:ascii="MingLiU_HKSCS-ExtB" w:hAnsi="MingLiU_HKSCS-ExtB" w:eastAsia="MingLiU_HKSCS-ExtB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malfunction or failure resulting from</w:t>
      </w:r>
      <w:r>
        <w:rPr>
          <w:rFonts w:hint="eastAsia" w:ascii="MingLiU_HKSCS-ExtB" w:hAnsi="MingLiU_HKSCS-ExtB" w:eastAsia="MingLiU_HKSCS-ExtB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manufacture defect for a period of three (3) years following the date of shipment. This warranty</w:t>
      </w:r>
      <w:r>
        <w:rPr>
          <w:rFonts w:hint="eastAsia" w:ascii="MingLiU_HKSCS-ExtB" w:hAnsi="MingLiU_HKSCS-ExtB" w:eastAsia="MingLiU_HKSCS-ExtB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covers exclusively parts and labor during the warranty period. This warranty is non transferrable</w:t>
      </w:r>
      <w:r>
        <w:rPr>
          <w:rFonts w:hint="eastAsia" w:ascii="MingLiU_HKSCS-ExtB" w:hAnsi="MingLiU_HKSCS-ExtB" w:eastAsia="MingLiU_HKSCS-ExtB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unless a specific exception is made in writing by TOPWELL. Non-functioning or damaged units</w:t>
      </w:r>
      <w:r>
        <w:rPr>
          <w:rFonts w:hint="eastAsia" w:ascii="MingLiU_HKSCS-ExtB" w:hAnsi="MingLiU_HKSCS-ExtB" w:eastAsia="MingLiU_HKSCS-ExtB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shall be repaired or replaced F.O.B at the repair facility designated by TOPWELL. TOPWELL, at</w:t>
      </w:r>
      <w:r>
        <w:rPr>
          <w:rFonts w:hint="eastAsia" w:ascii="MingLiU_HKSCS-ExtB" w:hAnsi="MingLiU_HKSCS-ExtB" w:eastAsia="MingLiU_HKSCS-ExtB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its' discretion, may opt to refund the purchase price (minus shipping costs and depreciation due to</w:t>
      </w:r>
      <w:r>
        <w:rPr>
          <w:rFonts w:hint="eastAsia" w:ascii="MingLiU_HKSCS-ExtB" w:hAnsi="MingLiU_HKSCS-ExtB" w:eastAsia="MingLiU_HKSCS-ExtB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use and wear.) The customer is responsible for all shipping costs and insurance associated with</w:t>
      </w:r>
      <w:r>
        <w:rPr>
          <w:rFonts w:hint="eastAsia" w:ascii="MingLiU_HKSCS-ExtB" w:hAnsi="MingLiU_HKSCS-ExtB" w:eastAsia="MingLiU_HKSCS-ExtB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items that are covered under warranty (except as stated below under the separate 30 day shipping</w:t>
      </w:r>
      <w:r>
        <w:rPr>
          <w:rFonts w:hint="eastAsia" w:ascii="MingLiU_HKSCS-ExtB" w:hAnsi="MingLiU_HKSCS-ExtB" w:eastAsia="MingLiU_HKSCS-ExtB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policy following initial purchase). No later than one week after the problem/failure is observed, the</w:t>
      </w:r>
      <w:r>
        <w:rPr>
          <w:rFonts w:hint="eastAsia" w:ascii="MingLiU_HKSCS-ExtB" w:hAnsi="MingLiU_HKSCS-ExtB" w:eastAsia="MingLiU_HKSCS-ExtB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customer must contact the technical support team to review the claim so that the warranty process</w:t>
      </w:r>
      <w:r>
        <w:rPr>
          <w:rFonts w:hint="eastAsia" w:ascii="MingLiU_HKSCS-ExtB" w:hAnsi="MingLiU_HKSCS-ExtB" w:eastAsia="MingLiU_HKSCS-ExtB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can be established. Items such as electrodes, contact tips, nozzles, cups, shields, liners, etc.,</w:t>
      </w:r>
      <w:r>
        <w:rPr>
          <w:rFonts w:hint="eastAsia" w:ascii="MingLiU_HKSCS-ExtB" w:hAnsi="MingLiU_HKSCS-ExtB" w:eastAsia="MingLiU_HKSCS-ExtB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considered to be consumable items, are NOT under warranty except for defect in workmanship.</w:t>
      </w:r>
      <w:r>
        <w:rPr>
          <w:rFonts w:hint="eastAsia" w:ascii="MingLiU_HKSCS-ExtB" w:hAnsi="MingLiU_HKSCS-ExtB" w:eastAsia="MingLiU_HKSCS-ExtB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Additionally, certain items such as torches, foot pedals, switches, cables, etc. may be individually</w:t>
      </w:r>
      <w:r>
        <w:rPr>
          <w:rFonts w:hint="eastAsia" w:ascii="MingLiU_HKSCS-ExtB" w:hAnsi="MingLiU_HKSCS-ExtB" w:eastAsia="MingLiU_HKSCS-ExtB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exchanged without returning the entire unit assembly should a failure with these items occur, at</w:t>
      </w:r>
      <w:r>
        <w:rPr>
          <w:rFonts w:hint="eastAsia" w:ascii="MingLiU_HKSCS-ExtB" w:hAnsi="MingLiU_HKSCS-ExtB" w:eastAsia="MingLiU_HKSCS-ExtB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TOPWELL's discretion. These items are covered separately under a 6 month warranty stated</w:t>
      </w:r>
      <w:r>
        <w:rPr>
          <w:rFonts w:hint="eastAsia" w:ascii="MingLiU_HKSCS-ExtB" w:hAnsi="MingLiU_HKSCS-ExtB" w:eastAsia="MingLiU_HKSCS-ExtB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below. TOPWELL will not be responsible for time/contract loss or delay from unit failure,</w:t>
      </w:r>
      <w:r>
        <w:rPr>
          <w:rFonts w:hint="eastAsia" w:ascii="MingLiU_HKSCS-ExtB" w:hAnsi="MingLiU_HKSCS-ExtB" w:eastAsia="MingLiU_HKSCS-ExtB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damages occurring from improper or unskilled operation, damages resulting from improper</w:t>
      </w:r>
      <w:r>
        <w:rPr>
          <w:rFonts w:hint="eastAsia" w:ascii="MingLiU_HKSCS-ExtB" w:hAnsi="MingLiU_HKSCS-ExtB" w:eastAsia="MingLiU_HKSCS-ExtB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maintenance, improper wiring, poor quality power sources, abuse or neglect. Nor will TOPWELL</w:t>
      </w:r>
      <w:r>
        <w:rPr>
          <w:rFonts w:hint="eastAsia" w:ascii="MingLiU_HKSCS-ExtB" w:hAnsi="MingLiU_HKSCS-ExtB" w:eastAsia="MingLiU_HKSCS-ExtB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assume responsibility for the customer's failure to heed/read safety instructions, to read and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sz w:val="24"/>
          <w:szCs w:val="24"/>
        </w:rPr>
      </w:pPr>
      <w:r>
        <w:rPr>
          <w:rFonts w:hint="eastAsia" w:ascii="MingLiU_HKSCS-ExtB" w:hAnsi="MingLiU_HKSCS-ExtB" w:eastAsia="MingLiU_HKSCS-ExtB" w:cs="MingLiU_HKSCS-ExtB"/>
          <w:sz w:val="24"/>
          <w:szCs w:val="24"/>
        </w:rPr>
        <w:t>understand operator's manual, obey occupational laws or to ensure the unit's safe operation</w:t>
      </w:r>
      <w:r>
        <w:rPr>
          <w:rFonts w:hint="eastAsia" w:ascii="MingLiU_HKSCS-ExtB" w:hAnsi="MingLiU_HKSCS-ExtB" w:eastAsia="MingLiU_HKSCS-ExtB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complies with national, state or local laws, personal injury arising from the inherent risks involved</w:t>
      </w:r>
      <w:r>
        <w:rPr>
          <w:rFonts w:hint="eastAsia" w:ascii="MingLiU_HKSCS-ExtB" w:hAnsi="MingLiU_HKSCS-ExtB" w:eastAsia="MingLiU_HKSCS-ExtB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with welding or plasma cutting, including burns, electric shock or death. The 3 year warranty</w:t>
      </w:r>
      <w:r>
        <w:rPr>
          <w:rFonts w:hint="eastAsia" w:ascii="MingLiU_HKSCS-ExtB" w:hAnsi="MingLiU_HKSCS-ExtB" w:eastAsia="MingLiU_HKSCS-ExtB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extends only to the machine itself. No other warranty is expressed or implied.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b/>
          <w:bCs/>
          <w:sz w:val="28"/>
          <w:szCs w:val="28"/>
        </w:rPr>
      </w:pPr>
      <w:r>
        <w:rPr>
          <w:rFonts w:hint="eastAsia" w:ascii="MingLiU_HKSCS-ExtB" w:hAnsi="MingLiU_HKSCS-ExtB" w:eastAsia="MingLiU_HKSCS-ExtB" w:cs="MingLiU_HKSCS-ExtB"/>
          <w:b/>
          <w:bCs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-908050</wp:posOffset>
            </wp:positionV>
            <wp:extent cx="7552690" cy="10691495"/>
            <wp:effectExtent l="0" t="0" r="10160" b="14605"/>
            <wp:wrapNone/>
            <wp:docPr id="3" name="图片 3" descr="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MingLiU_HKSCS-ExtB" w:hAnsi="MingLiU_HKSCS-ExtB" w:eastAsia="MingLiU_HKSCS-ExtB" w:cs="MingLiU_HKSCS-ExtB"/>
          <w:b/>
          <w:bCs/>
          <w:sz w:val="28"/>
          <w:szCs w:val="28"/>
        </w:rPr>
        <w:t>Torch and accessory warranty: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posOffset>222250</wp:posOffset>
            </wp:positionV>
            <wp:extent cx="1400810" cy="1362075"/>
            <wp:effectExtent l="0" t="0" r="8890" b="9525"/>
            <wp:wrapTopAndBottom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sz w:val="24"/>
          <w:szCs w:val="24"/>
        </w:rPr>
      </w:pPr>
      <w:r>
        <w:rPr>
          <w:rFonts w:hint="eastAsia" w:ascii="MingLiU_HKSCS-ExtB" w:hAnsi="MingLiU_HKSCS-ExtB" w:eastAsia="MingLiU_HKSCS-ExtB" w:cs="MingLiU_HKSCS-ExtB"/>
          <w:sz w:val="24"/>
          <w:szCs w:val="24"/>
        </w:rPr>
        <w:t>Torches, guns, foot pedals, and cables supplied with the welder or plasma cutter or bought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separately are warrantied under a separate warranty for a period of 6 months following the date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of purchase against manufacturing defects. No warranty is expressed or implied in regards to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the fitness of the product for any particular application or use. Damages or malfunctions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related to abuse, misuse, burns, and any condition or issue arising from improper maintenance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or use are not covered under warranty. Damage to water cooled torches used without water,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unless instructed to do so by a qualified TOPWELL employee, shall not be covered under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warranty. Damage arising from the use of plasma torches without an additional external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filter/dryer, in addition to the water trap provided with the unit shall not covered. Consumables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and torch guides shall not be warrantied other than to be warrantied to be free from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manufacturing defects at time of delivery. They are not warrantied against wear or damage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resulting from use. Torches may be requested for return for inspection at TOPWELL's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discretion.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b/>
          <w:bCs/>
          <w:sz w:val="28"/>
          <w:szCs w:val="28"/>
        </w:rPr>
      </w:pPr>
      <w:r>
        <w:rPr>
          <w:rFonts w:hint="eastAsia" w:ascii="MingLiU_HKSCS-ExtB" w:hAnsi="MingLiU_HKSCS-ExtB" w:eastAsia="MingLiU_HKSCS-ExtB" w:cs="MingLiU_HKSCS-ExtB"/>
          <w:b/>
          <w:bCs/>
          <w:sz w:val="28"/>
          <w:szCs w:val="28"/>
        </w:rPr>
        <w:t>Balance of Time: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sz w:val="24"/>
          <w:szCs w:val="24"/>
        </w:rPr>
      </w:pPr>
      <w:r>
        <w:rPr>
          <w:rFonts w:hint="eastAsia" w:ascii="MingLiU_HKSCS-ExtB" w:hAnsi="MingLiU_HKSCS-ExtB" w:eastAsia="MingLiU_HKSCS-ExtB" w:cs="MingLiU_HKSCS-ExtB"/>
          <w:sz w:val="24"/>
          <w:szCs w:val="24"/>
        </w:rPr>
        <w:t>Any warranty replacement or repaired units, and torches shall be warrantied for the balance of time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remaining from the date of the original purchase on all products. The warranty date shall not renew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or start over once the unit is repaired, serviced, or replaced. All warranty periods except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consumables shall commence with the date of original retail purchase, unless the unit is pre-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ordered or back-ordered, at which time, the warranty starts from date of shipment. Consumables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shall be considered for replacement or adjustment only at the time of receipt. Consumable should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 xml:space="preserve">be inspected </w:t>
      </w:r>
      <w:bookmarkStart w:id="0" w:name="_GoBack"/>
      <w:bookmarkEnd w:id="0"/>
      <w:r>
        <w:rPr>
          <w:rFonts w:hint="eastAsia" w:ascii="MingLiU_HKSCS-ExtB" w:hAnsi="MingLiU_HKSCS-ExtB" w:eastAsia="MingLiU_HKSCS-ExtB" w:cs="MingLiU_HKSCS-ExtB"/>
          <w:sz w:val="24"/>
          <w:szCs w:val="24"/>
        </w:rPr>
        <w:t>and issues addressed immediately upon customer receipt.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b/>
          <w:bCs/>
          <w:sz w:val="28"/>
          <w:szCs w:val="28"/>
        </w:rPr>
      </w:pPr>
      <w:r>
        <w:rPr>
          <w:rFonts w:hint="eastAsia" w:ascii="MingLiU_HKSCS-ExtB" w:hAnsi="MingLiU_HKSCS-ExtB" w:eastAsia="MingLiU_HKSCS-ExtB" w:cs="MingLiU_HKSCS-ExtB"/>
          <w:b/>
          <w:bCs/>
          <w:sz w:val="28"/>
          <w:szCs w:val="28"/>
        </w:rPr>
        <w:t>30 Day Shipping Policy: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</w:pP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Should a unit fail or have warrantable issues within the first 30 days after purchase, TOPWELL will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cover the shipping charges both ways for any warrantable unit. After the 30 day period, the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customer shall be responsible for all shipping and handling costs both ways of non-functioning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 xml:space="preserve">units for repair or replacement. Customers located </w:t>
      </w:r>
      <w:r>
        <w:rPr>
          <w:rFonts w:hint="eastAsia" w:ascii="MingLiU_HKSCS-ExtB" w:hAnsi="MingLiU_HKSCS-ExtB" w:eastAsia="MingLiU_HKSCS-ExtB" w:cs="MingLiU_HKSCS-ExtB"/>
          <w:b/>
          <w:bCs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-917575</wp:posOffset>
            </wp:positionV>
            <wp:extent cx="7552690" cy="10691495"/>
            <wp:effectExtent l="0" t="0" r="10160" b="14605"/>
            <wp:wrapNone/>
            <wp:docPr id="5" name="图片 5" descr="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outside China will have to pay shipping and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handling charges both ways from the purchase date. It is the customer's responsibility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to adequately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insure the unit, as TOPWELL is not responsible for lost returns. Labor coverage only applies if the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unit is serviced at our facility or one of our authorized dealers. TOPWELL will not reimburse the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customer in any circumstance for labor charges if the customer decides to have a third-party or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unauthorized repair technicians work on the unit.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b/>
          <w:bCs/>
          <w:sz w:val="28"/>
          <w:szCs w:val="28"/>
        </w:rPr>
      </w:pPr>
      <w:r>
        <w:rPr>
          <w:rFonts w:hint="eastAsia" w:ascii="MingLiU_HKSCS-ExtB" w:hAnsi="MingLiU_HKSCS-ExtB" w:eastAsia="MingLiU_HKSCS-ExtB" w:cs="MingLiU_HKSCS-ExtB"/>
          <w:b/>
          <w:bCs/>
          <w:sz w:val="28"/>
          <w:szCs w:val="28"/>
        </w:rPr>
        <w:t>Shipping/Shipping Damage/Non-Working On Arrival Information: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</w:pP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Once the payment has been received in full, it is TOPWELL's general policy to ship the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customer's item within 7 business days (subject to availability of the purchased item).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</w:pP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However, it is possible that the item may ship the same day, but certain times of the year when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volume is high or orders placed late in the day may result in delays. A tracking number will be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forwarded to the customer's submitted email address the day of shipment.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TOPWELL does not own or operate a shipping company. Shipping is via third party entities,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which determine individual package receipt requirements. I.E. signatures, leaving packages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unattended etc. Contact shipper directly to discuss exact terms of delivery. Once the customer's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package has left the TOPWELL corporate facilities, TOPWELL cannot assume responsibility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for delivery or delays in delivery due to shipping company policies, procedures, or union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strikes. TOPWELL does not assume responsibility for shipping damage.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</w:pP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The customer is entirely responsible to inspect the item for any damages at time of delivery. If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the customer fails to inspect the item, the shipping company may not take responsibility for any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damages occurring during shipment, which are discovered at a later time. If the unit appears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undamaged, it is still the customer's responsibility to test out the unit as soon as possible to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ensure proper operation. Early unit failure can be a result of hidden internal damages during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shipping. The customer should not delay in opening the package and promptly testing the unit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with a "live" test of all functions. Units not promptly tested for shipping damage MAY result in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the shipper denying the damage claim and the unit being shipped back at customer's expense.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</w:pP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The TOPWELL sales support team will assist the customer in filing a damage claim in the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unlikely event of shipping damage. The customer should promptly contact the TOPWELL sales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support team should shipping damage occur. If there is shipping damage, TOPWELL will file a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damage claim immediately, upon receipt of said claims.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</w:pP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The customer should download the appropriate operator's manual directly from the website and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read the manual completely by the time the unit arrives so that prompt and safe testing of the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unit will not be delayed. The unit must be tested "live" within the designated 48-hour time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frame to meet the demands of the shippers damaged product return policy.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</w:pP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Unless the unit is damaged or otherwise nonfunctional at the time of arrival, the buyer is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responsible for all return costs, insurance and tracking.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</w:pP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Items damaged or nonfunctional upon arrival: TOPWELL will gladly exchange it free of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charge. It is the customer's responsibility; however to immediately notify the sales support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team of the issue. Prompt reporting of this condition is required. Delayed opening of the</w:t>
      </w:r>
      <w:r>
        <w:rPr>
          <w:rFonts w:hint="eastAsia" w:ascii="MingLiU_HKSCS-ExtB" w:hAnsi="MingLiU_HKSCS-ExtB" w:eastAsia="宋体" w:cs="MingLiU_HKSCS-ExtB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 w:val="0"/>
          <w:bCs w:val="0"/>
          <w:sz w:val="24"/>
          <w:szCs w:val="24"/>
        </w:rPr>
        <w:t>package may result in denial of claim and waving of rights of free replacement.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b/>
          <w:bCs/>
          <w:sz w:val="28"/>
          <w:szCs w:val="28"/>
        </w:rPr>
      </w:pPr>
      <w:r>
        <w:rPr>
          <w:rFonts w:hint="eastAsia" w:ascii="MingLiU_HKSCS-ExtB" w:hAnsi="MingLiU_HKSCS-ExtB" w:eastAsia="MingLiU_HKSCS-ExtB" w:cs="MingLiU_HKSCS-ExtB"/>
          <w:b/>
          <w:bCs/>
          <w:sz w:val="28"/>
          <w:szCs w:val="28"/>
        </w:rPr>
        <w:t>30 Days Satisfaction Policy: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sz w:val="24"/>
          <w:szCs w:val="24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39370</wp:posOffset>
            </wp:positionV>
            <wp:extent cx="1513840" cy="1478915"/>
            <wp:effectExtent l="0" t="0" r="10160" b="6985"/>
            <wp:wrapTopAndBottom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If the customer is dissatisfied with the unit due to shipping damage, or component failure at any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time within 30 days of product shipment, the product may be returned to TOPWELL for a refund.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sz w:val="24"/>
          <w:szCs w:val="24"/>
        </w:rPr>
      </w:pPr>
      <w:r>
        <w:rPr>
          <w:rFonts w:hint="eastAsia" w:ascii="MingLiU_HKSCS-ExtB" w:hAnsi="MingLiU_HKSCS-ExtB" w:eastAsia="MingLiU_HKSCS-ExtB" w:cs="MingLiU_HKSCS-ExtB"/>
          <w:sz w:val="24"/>
          <w:szCs w:val="24"/>
        </w:rPr>
        <w:t>The customer must contact TOPWELL technical support or performance support team to allow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TOPWELL a chance to resolve any minor questions or issues prior to returning unit should the need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arise. The TOPWELL Sales support team is responsible for issuing credits/payments and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authorization of returned goods and will be issued after the unit and all relevant parts and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accessories have been returned in good repair and unmodified (unless accessories were also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damaged in shipping).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sz w:val="24"/>
          <w:szCs w:val="24"/>
        </w:rPr>
      </w:pPr>
      <w:r>
        <w:rPr>
          <w:rFonts w:hint="eastAsia" w:ascii="MingLiU_HKSCS-ExtB" w:hAnsi="MingLiU_HKSCS-ExtB" w:eastAsia="MingLiU_HKSCS-ExtB" w:cs="MingLiU_HKSCS-ExtB"/>
          <w:b/>
          <w:bCs/>
          <w:sz w:val="24"/>
          <w:szCs w:val="24"/>
        </w:rPr>
        <w:t>REFUNDS ON UNITS THAT ARE RETURNED FOR REASONS OTHER THAN SHIPPING</w:t>
      </w:r>
      <w:r>
        <w:rPr>
          <w:rFonts w:hint="eastAsia" w:ascii="MingLiU_HKSCS-ExtB" w:hAnsi="MingLiU_HKSCS-ExtB" w:eastAsia="MingLiU_HKSCS-ExtB" w:cs="MingLiU_HKSCS-ExtB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/>
          <w:bCs/>
          <w:sz w:val="24"/>
          <w:szCs w:val="24"/>
        </w:rPr>
        <w:t>DAMAGE OR COMPONENT FAILURE THAT ARE DETERMINED BY TOPWELL TO BE</w:t>
      </w:r>
      <w:r>
        <w:rPr>
          <w:rFonts w:hint="eastAsia" w:ascii="MingLiU_HKSCS-ExtB" w:hAnsi="MingLiU_HKSCS-ExtB" w:eastAsia="MingLiU_HKSCS-ExtB" w:cs="MingLiU_HKSCS-ExtB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b/>
          <w:bCs/>
          <w:sz w:val="24"/>
          <w:szCs w:val="24"/>
        </w:rPr>
        <w:t>PERFORMING TO SPECIFICATIONS: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 xml:space="preserve"> Customers must return the unit fully insured for the full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price of the unit in the original packaging and shipping boxes at customer's expense after receiving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an Return Authorization from TOPWELL. Note: Refunds on units that are returned for reason</w:t>
      </w:r>
      <w:r>
        <w:rPr>
          <w:rFonts w:hint="eastAsia" w:ascii="MingLiU_HKSCS-ExtB" w:hAnsi="MingLiU_HKSCS-ExtB" w:eastAsia="MingLiU_HKSCS-ExtB" w:cs="MingLiU_HKSCS-ExtB"/>
          <w:b/>
          <w:bCs/>
          <w:sz w:val="28"/>
          <w:szCs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-8524240</wp:posOffset>
            </wp:positionV>
            <wp:extent cx="7552690" cy="10691495"/>
            <wp:effectExtent l="0" t="0" r="10160" b="14605"/>
            <wp:wrapNone/>
            <wp:docPr id="10" name="图片 10" descr="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s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 xml:space="preserve">other </w:t>
      </w:r>
      <w:r>
        <w:rPr>
          <w:rFonts w:hint="eastAsia" w:ascii="MingLiU_HKSCS-ExtB" w:hAnsi="MingLiU_HKSCS-ExtB" w:eastAsia="MingLiU_HKSCS-ExtB" w:cs="MingLiU_HKSCS-ExtB"/>
          <w:b/>
          <w:bCs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-887095</wp:posOffset>
            </wp:positionV>
            <wp:extent cx="7552690" cy="10691495"/>
            <wp:effectExtent l="0" t="0" r="10160" b="14605"/>
            <wp:wrapNone/>
            <wp:docPr id="7" name="图片 7" descr="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than shipping damage and/or component failure within the 30 day period for a refund are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subject to a 15% restocking fee. Outbound shipping to customer is not refundable.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sz w:val="24"/>
          <w:szCs w:val="24"/>
        </w:rPr>
      </w:pPr>
      <w:r>
        <w:rPr>
          <w:rFonts w:hint="eastAsia" w:ascii="MingLiU_HKSCS-ExtB" w:hAnsi="MingLiU_HKSCS-ExtB" w:eastAsia="MingLiU_HKSCS-ExtB" w:cs="MingLiU_HKSCS-ExtB"/>
          <w:sz w:val="24"/>
          <w:szCs w:val="24"/>
        </w:rPr>
        <w:t>After the 30-day satisfaction guarantee period is over, the customer may NOT return a unit for a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refund for ANY reason except as listed below. The responsibility of the customer is to ensure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that the unit has been fully tested and evaluated within the 30-day time period allotted. At the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close of the 30-day period, all sales are considered final and no refund will be given.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sz w:val="24"/>
          <w:szCs w:val="24"/>
        </w:rPr>
      </w:pPr>
      <w:r>
        <w:rPr>
          <w:rFonts w:hint="eastAsia" w:ascii="MingLiU_HKSCS-ExtB" w:hAnsi="MingLiU_HKSCS-ExtB" w:eastAsia="MingLiU_HKSCS-ExtB" w:cs="MingLiU_HKSCS-ExtB"/>
          <w:sz w:val="24"/>
          <w:szCs w:val="24"/>
        </w:rPr>
        <w:t>If a customer realizes a need to upgrade the machine after the 30 day return period is over, and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for a period not to exceed 6 months after delivery of the unit, then the customer may contact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TOPWELL and pay the price difference in the units (plus pay 20% exchange fee based off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original invoiced price of the returned unit) and upgrade to another machine and return the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initial unit in good repair at customer's expense. This upgrade policy only applies to customers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desiring larger units, or units with more features. Down grades are not accepted. All upgrades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are subject to TOPWELL approval. Shipping costs are the customer's responsibility when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trading up. Any trade ups after 6 months will be considered on a case by case basis at a prorated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value determined by TOPWELL.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sz w:val="24"/>
          <w:szCs w:val="24"/>
        </w:rPr>
      </w:pPr>
      <w:r>
        <w:rPr>
          <w:rFonts w:hint="eastAsia" w:ascii="MingLiU_HKSCS-ExtB" w:hAnsi="MingLiU_HKSCS-ExtB" w:eastAsia="MingLiU_HKSCS-ExtB" w:cs="MingLiU_HKSCS-ExtB"/>
          <w:sz w:val="24"/>
          <w:szCs w:val="24"/>
        </w:rPr>
        <w:t>Items returned for refund under this policy must be shipped insured, in good general repair,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unless for shipping damage, and must include all accessories and original packaging.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sz w:val="24"/>
          <w:szCs w:val="24"/>
        </w:rPr>
      </w:pPr>
      <w:r>
        <w:rPr>
          <w:rFonts w:hint="eastAsia" w:ascii="MingLiU_HKSCS-ExtB" w:hAnsi="MingLiU_HKSCS-ExtB" w:eastAsia="MingLiU_HKSCS-ExtB" w:cs="MingLiU_HKSCS-ExtB"/>
          <w:sz w:val="24"/>
          <w:szCs w:val="24"/>
        </w:rPr>
        <w:t>TOPWELL will inspect all packages before accepting the return. Packages that are not in the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original packaging, have missing parts, or unreported damages will be refused and returned at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the customer's expense. It is the customer's full responsibility to 1). Insure the returned item. 2)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Ship the product back in the original container/packaging. 3) Return item with all parts and</w:t>
      </w:r>
      <w:r>
        <w:rPr>
          <w:rFonts w:hint="eastAsia" w:ascii="MingLiU_HKSCS-ExtB" w:hAnsi="MingLiU_HKSCS-ExtB" w:eastAsia="宋体" w:cs="MingLiU_HKSCS-ExtB"/>
          <w:sz w:val="24"/>
          <w:szCs w:val="24"/>
          <w:lang w:val="en-US" w:eastAsia="zh-CN"/>
        </w:rPr>
        <w:t xml:space="preserve"> </w:t>
      </w:r>
      <w:r>
        <w:rPr>
          <w:rFonts w:hint="eastAsia" w:ascii="MingLiU_HKSCS-ExtB" w:hAnsi="MingLiU_HKSCS-ExtB" w:eastAsia="MingLiU_HKSCS-ExtB" w:cs="MingLiU_HKSCS-ExtB"/>
          <w:sz w:val="24"/>
          <w:szCs w:val="24"/>
        </w:rPr>
        <w:t>accessories in good condition.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MingLiU_HKSCS-ExtB" w:hAnsi="MingLiU_HKSCS-ExtB" w:eastAsia="MingLiU_HKSCS-ExtB" w:cs="MingLiU_HKSCS-ExtB"/>
          <w:b/>
          <w:bCs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中國龍海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CS长美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力量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鼎简老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王漢宗粗標顏楷九宮空心">
    <w:panose1 w:val="03000500000000000000"/>
    <w:charset w:val="88"/>
    <w:family w:val="auto"/>
    <w:pitch w:val="default"/>
    <w:sig w:usb0="80000001" w:usb1="28091800" w:usb2="00000016" w:usb3="00000000" w:csb0="00100000" w:csb1="00000000"/>
  </w:font>
  <w:font w:name="经典繁印篆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迷你简粗倩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细行楷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习字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超研澤中特明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经典行书简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经典繁角篆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TypeLand 康熙字典體 Trial">
    <w:panose1 w:val="00000000000000000000"/>
    <w:charset w:val="88"/>
    <w:family w:val="auto"/>
    <w:pitch w:val="default"/>
    <w:sig w:usb0="80000001" w:usb1="38010000" w:usb2="00000012" w:usb3="00000000" w:csb0="0010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MKBritishWriting">
    <w:panose1 w:val="02000603050000020003"/>
    <w:charset w:val="00"/>
    <w:family w:val="auto"/>
    <w:pitch w:val="default"/>
    <w:sig w:usb0="80000003" w:usb1="00000000" w:usb2="00000000" w:usb3="00000000" w:csb0="0000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dobe Caslon Pro">
    <w:panose1 w:val="0205050205050A020403"/>
    <w:charset w:val="00"/>
    <w:family w:val="auto"/>
    <w:pitch w:val="default"/>
    <w:sig w:usb0="00000007" w:usb1="00000001" w:usb2="00000000" w:usb3="00000000" w:csb0="20000093" w:csb1="00000000"/>
  </w:font>
  <w:font w:name="Adobe Garamond Pro Bold">
    <w:panose1 w:val="02020702060506020403"/>
    <w:charset w:val="00"/>
    <w:family w:val="auto"/>
    <w:pitch w:val="default"/>
    <w:sig w:usb0="00000007" w:usb1="00000001" w:usb2="00000000" w:usb3="00000000" w:csb0="20000093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  <w:font w:name="Adobe Devanagari">
    <w:panose1 w:val="02040503050201020203"/>
    <w:charset w:val="00"/>
    <w:family w:val="auto"/>
    <w:pitch w:val="default"/>
    <w:sig w:usb0="A00080EF" w:usb1="4000204A" w:usb2="00000000" w:usb3="00000000" w:csb0="20000001" w:csb1="00000000"/>
  </w:font>
  <w:font w:name="Adobe Caslon Pro Bold">
    <w:panose1 w:val="0205070206050A020403"/>
    <w:charset w:val="00"/>
    <w:family w:val="auto"/>
    <w:pitch w:val="default"/>
    <w:sig w:usb0="00000007" w:usb1="00000001" w:usb2="00000000" w:usb3="00000000" w:csb0="20000093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CD227"/>
    <w:multiLevelType w:val="singleLevel"/>
    <w:tmpl w:val="585CD227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C61F9"/>
    <w:rsid w:val="4B1C61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2016-12-23T06:52:00Z</dcterms:created>
  <dc:creator>Administrator</dc:creator>
  <cp:lastModifiedBy>Administrator</cp:lastModifiedBy>
  <dcterms:modified xsi:type="dcterms:W3CDTF">2016-12-23T07:44:56Z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