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1F497D"/>
          <w:lang w:val="fr-FR"/>
        </w:rPr>
      </w:pPr>
      <w:r>
        <w:rPr>
          <w:b/>
          <w:bCs/>
          <w:color w:val="1F497D"/>
          <w:lang w:val="fr-FR"/>
        </w:rPr>
        <w:t>Donnée technique:</w:t>
      </w:r>
    </w:p>
    <w:tbl>
      <w:tblPr>
        <w:tblStyle w:val="3"/>
        <w:tblW w:w="8900" w:type="dxa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684"/>
        <w:gridCol w:w="1203"/>
        <w:gridCol w:w="1203"/>
        <w:gridCol w:w="1204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color w:val="1F497D"/>
                <w:lang w:val="fr-FR"/>
              </w:rPr>
              <w:t>Nom</w:t>
            </w:r>
          </w:p>
        </w:tc>
        <w:tc>
          <w:tcPr>
            <w:tcW w:w="69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1F497D"/>
                <w:lang w:val="fr-FR"/>
              </w:rPr>
              <w:t>Uncoiler et Lisseur machine 2 en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b/>
                <w:color w:val="1F497D"/>
                <w:kern w:val="0"/>
                <w:sz w:val="22"/>
                <w:szCs w:val="22"/>
              </w:rPr>
              <w:t>Modèle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GL-200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GL-300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GL-400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GL-500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/>
                <w:b/>
                <w:bCs/>
                <w:color w:val="1F497D"/>
                <w:sz w:val="18"/>
                <w:szCs w:val="18"/>
                <w:lang w:val="en-US" w:eastAsia="zh-CN"/>
              </w:rPr>
              <w:t>largeur Matériel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color w:val="1F497D"/>
                <w:sz w:val="22"/>
                <w:szCs w:val="22"/>
                <w:lang w:val="fr-FR"/>
              </w:rPr>
              <w:t>Épaisseur de bobine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0.3-3.2mm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Rouleau de redressement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Φ48*7pcs(3/4)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Cambria"/>
                <w:color w:val="1F497D"/>
                <w:kern w:val="0"/>
                <w:sz w:val="22"/>
                <w:szCs w:val="22"/>
              </w:rPr>
            </w:pPr>
            <w:r>
              <w:rPr>
                <w:rFonts w:hint="default" w:eastAsia="Cambria"/>
                <w:color w:val="1F497D"/>
                <w:kern w:val="0"/>
                <w:sz w:val="22"/>
                <w:szCs w:val="22"/>
                <w:lang w:val="en-US" w:eastAsia="zh-CN"/>
              </w:rPr>
              <w:t>Coil I.D.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 w:color="auto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Φ450-530mm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Cambria"/>
                <w:color w:val="1F497D"/>
                <w:kern w:val="0"/>
                <w:sz w:val="22"/>
                <w:szCs w:val="22"/>
              </w:rPr>
            </w:pPr>
            <w:r>
              <w:rPr>
                <w:rFonts w:hint="default" w:eastAsia="Cambria"/>
                <w:color w:val="1F497D"/>
                <w:kern w:val="0"/>
                <w:sz w:val="22"/>
                <w:szCs w:val="22"/>
                <w:lang w:val="en-US" w:eastAsia="zh-CN"/>
              </w:rPr>
              <w:t>Coil O.D.</w:t>
            </w:r>
          </w:p>
        </w:tc>
        <w:tc>
          <w:tcPr>
            <w:tcW w:w="6980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Φ1200mm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Cambria"/>
                <w:color w:val="1F497D"/>
                <w:kern w:val="0"/>
                <w:sz w:val="22"/>
                <w:szCs w:val="22"/>
              </w:rPr>
            </w:pPr>
            <w:r>
              <w:rPr>
                <w:rFonts w:hint="default" w:eastAsia="Cambria"/>
                <w:color w:val="1F497D"/>
                <w:kern w:val="0"/>
                <w:sz w:val="22"/>
                <w:szCs w:val="22"/>
                <w:lang w:val="en-US" w:eastAsia="zh-CN"/>
              </w:rPr>
              <w:t>weight Coil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800kg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1000kg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1500kg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2000kg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2000kg</w:t>
            </w:r>
          </w:p>
        </w:tc>
      </w:tr>
    </w:tbl>
    <w:p>
      <w:pPr>
        <w:rPr>
          <w:b/>
          <w:bCs/>
          <w:color w:val="1F497D"/>
          <w:lang w:val="fr-FR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b/>
          <w:bCs/>
          <w:color w:val="1F497D"/>
        </w:rPr>
        <w:t xml:space="preserve"> Exigence d’acheteur</w:t>
      </w:r>
    </w:p>
    <w:tbl>
      <w:tblPr>
        <w:tblStyle w:val="3"/>
        <w:tblW w:w="8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Emballage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szCs w:val="21"/>
                <w:lang w:val="fr-FR"/>
              </w:rPr>
              <w:t>Caisse en bois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Service après-vente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1 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D</w:t>
            </w: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é</w:t>
            </w:r>
            <w:r>
              <w:rPr>
                <w:rFonts w:eastAsia="Cambria"/>
                <w:color w:val="1F497D"/>
                <w:kern w:val="0"/>
                <w:szCs w:val="21"/>
              </w:rPr>
              <w:t>lai de livraison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Cambria"/>
                <w:color w:val="1F497D"/>
                <w:kern w:val="0"/>
                <w:sz w:val="22"/>
                <w:szCs w:val="22"/>
                <w:lang w:val="fr-FR"/>
              </w:rPr>
              <w:t>0</w:t>
            </w:r>
            <w:r>
              <w:rPr>
                <w:rFonts w:eastAsia="Cambria"/>
                <w:color w:val="1F497D"/>
                <w:kern w:val="0"/>
                <w:sz w:val="22"/>
                <w:szCs w:val="22"/>
                <w:lang w:val="fr-FR"/>
              </w:rPr>
              <w:t>-</w:t>
            </w:r>
            <w:r>
              <w:rPr>
                <w:rFonts w:hint="eastAsia" w:eastAsia="Cambria"/>
                <w:color w:val="1F497D"/>
                <w:kern w:val="0"/>
                <w:sz w:val="22"/>
                <w:szCs w:val="22"/>
                <w:lang w:val="fr-FR"/>
              </w:rPr>
              <w:t>2</w:t>
            </w:r>
            <w:r>
              <w:rPr>
                <w:rFonts w:eastAsia="Cambria"/>
                <w:color w:val="1F497D"/>
                <w:kern w:val="0"/>
                <w:sz w:val="22"/>
                <w:szCs w:val="22"/>
                <w:lang w:val="fr-FR"/>
              </w:rPr>
              <w:t xml:space="preserve">5 </w:t>
            </w: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journées de travail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szCs w:val="21"/>
              </w:rPr>
              <w:t>Manière d’expédition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szCs w:val="21"/>
              </w:rPr>
              <w:t>Transport maritime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Mode de payement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T/T  L/C  En Espèces ou autre</w:t>
            </w:r>
          </w:p>
        </w:tc>
      </w:tr>
    </w:tbl>
    <w:p>
      <w:pPr>
        <w:rPr>
          <w:b/>
          <w:bCs/>
          <w:color w:val="1F497D"/>
          <w:lang w:val="fr-FR"/>
        </w:rPr>
      </w:pPr>
    </w:p>
    <w:p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 Attribut de produit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cs="Cambria"/>
                <w:color w:val="000000"/>
                <w:sz w:val="22"/>
                <w:szCs w:val="22"/>
                <w:lang w:val="fr-FR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Certificat CE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Obtenu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1F497D"/>
                <w:sz w:val="22"/>
                <w:szCs w:val="22"/>
                <w:lang w:val="fr-FR"/>
              </w:rPr>
            </w:pPr>
            <w:r>
              <w:rPr>
                <w:color w:val="1F497D"/>
                <w:sz w:val="22"/>
                <w:szCs w:val="22"/>
                <w:lang w:val="fr-FR"/>
              </w:rPr>
              <w:t>Épaisseur de bobine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000000"/>
                <w:kern w:val="0"/>
                <w:sz w:val="22"/>
                <w:szCs w:val="22"/>
              </w:rPr>
            </w:pPr>
            <w:r>
              <w:rPr>
                <w:rFonts w:eastAsia="Cambr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eastAsia="Cambr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4-3.2</w:t>
            </w:r>
            <w:r>
              <w:rPr>
                <w:rFonts w:eastAsia="Cambria"/>
                <w:color w:val="000000"/>
                <w:kern w:val="0"/>
                <w:sz w:val="22"/>
                <w:szCs w:val="22"/>
              </w:rPr>
              <w:t>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Stock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kern w:val="0"/>
                <w:sz w:val="22"/>
                <w:szCs w:val="22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Avec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Moyen d’expansion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000000"/>
                <w:kern w:val="0"/>
                <w:sz w:val="22"/>
                <w:szCs w:val="22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Manuel/hydraulique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cs="Cambria"/>
                <w:color w:val="1F497D"/>
                <w:sz w:val="22"/>
                <w:szCs w:val="22"/>
                <w:lang w:val="fr-FR"/>
              </w:rPr>
            </w:pPr>
            <w:r>
              <w:rPr>
                <w:rFonts w:ascii="Cambria" w:hAnsi="Cambria" w:cs="Cambria"/>
                <w:color w:val="1F497D"/>
                <w:sz w:val="22"/>
                <w:szCs w:val="22"/>
                <w:lang w:val="fr-FR"/>
              </w:rPr>
              <w:t>Grand client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</w:pPr>
            <w:r>
              <w:rPr>
                <w:rFonts w:hint="eastAsia" w:ascii="Cambria" w:hAnsi="Cambria" w:eastAsia="Cambria" w:cs="Cambria"/>
                <w:color w:val="1F497D"/>
                <w:kern w:val="0"/>
                <w:sz w:val="22"/>
                <w:szCs w:val="22"/>
              </w:rPr>
              <w:t>Media, Haier, AUDI,</w:t>
            </w: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hint="eastAsia" w:ascii="Cambria" w:hAnsi="Cambria" w:eastAsia="Cambria" w:cs="Cambria"/>
                <w:color w:val="1F497D"/>
                <w:kern w:val="0"/>
                <w:sz w:val="22"/>
                <w:szCs w:val="22"/>
              </w:rPr>
              <w:t>DONGFENG etc.</w:t>
            </w:r>
          </w:p>
        </w:tc>
      </w:tr>
    </w:tbl>
    <w:p>
      <w:pPr>
        <w:rPr>
          <w:b/>
          <w:bCs/>
          <w:color w:val="1F497D"/>
          <w:lang w:val="fr-F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D64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2016-05-10T08:27:54Z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