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Technical data:</w:t>
      </w:r>
      <w:bookmarkStart w:id="0" w:name="_GoBack"/>
      <w:bookmarkEnd w:id="0"/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612"/>
        <w:gridCol w:w="1251"/>
        <w:gridCol w:w="1251"/>
        <w:gridCol w:w="1252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имя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Uncoiler and Straightener machine 2 in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GL-200H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GL-300H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GL-400H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GL-500H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GL-600H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ширина катушки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катушки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0.5-4.5</w:t>
            </w: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Выпрямитель ролик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Φ68*7штук(3 вверх / вниз 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Ведущий ролик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Φ48*4штук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-SA"/>
              </w:rPr>
              <w:t>（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-SA"/>
              </w:rPr>
              <w:t>Входные 2 шт / выход 2 шт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698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Φ450-530</w:t>
            </w: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  <w:r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  <w:t>мм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color w:val="auto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0-25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color w:val="auto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1-1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Способ расширения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Ручной или гидравлический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A58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color w:val="5B9BD5" w:themeColor="accent1"/>
      <w:kern w:val="2"/>
      <w:sz w:val="24"/>
      <w:szCs w:val="22"/>
      <w:lang w:val="en-US" w:eastAsia="zh-CN"/>
      <w14:textFill>
        <w14:solidFill>
          <w14:schemeClr w14:val="accent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2"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2016-05-05T09:43:58Z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